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Twelve meeting minutes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6.949572441358"/>
        <w:gridCol w:w="7288.562238582264"/>
        <w:tblGridChange w:id="0">
          <w:tblGrid>
            <w:gridCol w:w="1736.949572441358"/>
            <w:gridCol w:w="7288.562238582264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22/08/18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12:50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Jake Smith, Joshua Poole, Cole Ballam, Ashley Cottrell, Jack McMahon.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ges5jbusms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Review User Stories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 </w:t>
        <w:tab/>
        <w:t xml:space="preserve">Assign Story Points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Assign Priority Rating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4.</w:t>
        <w:tab/>
        <w:t xml:space="preserve">Finalise Sprint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5.</w:t>
        <w:tab/>
        <w:t xml:space="preserve">Discuss Release Plans</w:t>
      </w: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355"/>
        <w:gridCol w:w="2295"/>
        <w:gridCol w:w="2025"/>
        <w:tblGridChange w:id="0">
          <w:tblGrid>
            <w:gridCol w:w="2385"/>
            <w:gridCol w:w="2355"/>
            <w:gridCol w:w="2295"/>
            <w:gridCol w:w="2025"/>
          </w:tblGrid>
        </w:tblGridChange>
      </w:tblGrid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tnizwtp9pi3c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Action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selefhr8e8un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Owner(s)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he3o97jtkbno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awynul3trr5z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Status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&amp; Complete User Stories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29/08/2018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and Finalise Sprint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Development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Client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Combined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