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Xa660d6d115550f8e7387ede80f8fc009db57f2d"/>
    <w:p>
      <w:pPr>
        <w:pStyle w:val="Heading2"/>
      </w:pPr>
      <w:r>
        <w:t xml:space="preserve">1.1 Der Große Saal (Rittersaal), Schloss Weikersheim</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schloss-weikersheim"/>
    <w:p>
      <w:pPr>
        <w:pStyle w:val="Heading2"/>
      </w:pPr>
      <w:r>
        <w:t xml:space="preserve">1.2 Schloss Weikersheim</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8" w:name="kolophon"/>
    <w:p>
      <w:pPr>
        <w:pStyle w:val="Heading1"/>
      </w:pPr>
      <w:r>
        <w:t xml:space="preserve">6. Kolophon</w:t>
      </w:r>
    </w:p>
    <w:bookmarkStart w:id="77"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w:t>
      </w:r>
      <w:r>
        <w:t xml:space="preserve"> </w:t>
      </w:r>
      <w:hyperlink r:id="rId75">
        <w:r>
          <w:rPr>
            <w:rStyle w:val="Hyperlink"/>
          </w:rPr>
          <w:t xml:space="preserve">ORCiD: 0009-0008-4458-8228</w:t>
        </w:r>
      </w:hyperlink>
      <w:r>
        <w:t xml:space="preserve">. Affiliation: Hochschule Hannover (ROR ID:</w:t>
      </w:r>
      <w:r>
        <w:t xml:space="preserve"> </w:t>
      </w:r>
      <w:hyperlink r:id="rId76">
        <w:r>
          <w:rPr>
            <w:rStyle w:val="Hyperlink"/>
          </w:rPr>
          <w:t xml:space="preserve">https://ror.org/03m2kj587</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2025-03-07T14:56:08Z</dcterms:created>
  <dcterms:modified xsi:type="dcterms:W3CDTF">2025-03-07T14:56:08Z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2025-03-07</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