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480"/>
        <w:gridCol w:w="2880"/>
      </w:tblGrid>
      <w:tr>
        <w:tc>
          <w:tcPr>
            <w:tcW w:type="dxa" w:w="4680"/>
          </w:tcPr>
          <w:p>
            <w:pPr>
              <w:spacing w:after="40"/>
            </w:pPr>
            <w:r>
              <w:rPr>
                <w:b/>
                <w:sz w:val="17"/>
              </w:rPr>
              <w:t>DIRECCIÓN GENERAL DE MEDICAMENTOS, ALIMENTOS Y PRODUCTOS SANITARIOS</w:t>
              <w:br/>
            </w:r>
            <w:r>
              <w:rPr>
                <w:color w:val="5A5A5A"/>
                <w:sz w:val="16"/>
              </w:rPr>
              <w:t>DEPARTAMENTO DE ASEGURAMIENTO DE CALIDAD (QA)</w:t>
            </w:r>
          </w:p>
        </w:tc>
        <w:tc>
          <w:tcPr>
            <w:tcW w:type="dxa" w:w="4680"/>
          </w:tcPr>
          <w:p>
            <w:pPr>
              <w:spacing w:after="40"/>
              <w:jc w:val="right"/>
            </w:pPr>
            <w:r>
              <w:rPr>
                <w:b/>
                <w:sz w:val="16"/>
              </w:rPr>
              <w:t xml:space="preserve">CÓDIGO: </w:t>
            </w:r>
            <w:r>
              <w:rPr>
                <w:b/>
                <w:sz w:val="17"/>
              </w:rPr>
              <w:t>DEF-2026-012</w:t>
              <w:br/>
            </w:r>
            <w:r>
              <w:rPr>
                <w:color w:val="5A5A5A"/>
                <w:sz w:val="15"/>
              </w:rPr>
              <w:t>VERSIÓN: 1.0 | ESTADO: CERRADO</w:t>
            </w:r>
          </w:p>
        </w:tc>
      </w:tr>
    </w:tbl>
    <w:p>
      <w:pPr>
        <w:spacing w:after="160"/>
      </w:pPr>
    </w:p>
    <w:p>
      <w:pPr>
        <w:spacing w:after="80"/>
      </w:pPr>
      <w:r>
        <w:rPr>
          <w:b/>
          <w:color w:val="141414"/>
          <w:sz w:val="26"/>
        </w:rPr>
        <w:t>INFORME DE NO CONFORMIDAD / DEFECTO TÉCNICO</w:t>
      </w:r>
    </w:p>
    <w:p>
      <w:pPr>
        <w:spacing w:after="280"/>
      </w:pPr>
      <w:r>
        <w:rPr>
          <w:color w:val="5A5A5A"/>
          <w:sz w:val="19"/>
        </w:rPr>
        <w:t>Sistema: Evaluación Basada en Riesgo (EBR / BPM) | Módulo: Coordinador — Informes Devueltos y Deshacer Devolución</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340"/>
        <w:gridCol w:w="2340"/>
        <w:gridCol w:w="2340"/>
        <w:gridCol w:w="2340"/>
      </w:tblGrid>
      <w:tr>
        <w:tc>
          <w:tcPr>
            <w:tcW w:type="dxa" w:w="2160"/>
            <w:vAlign w:val="center"/>
            <w:tcMar>
              <w:top w:w="70" w:type="dxa"/>
              <w:bottom w:w="70" w:type="dxa"/>
              <w:left w:w="100" w:type="dxa"/>
              <w:right w:w="100" w:type="dxa"/>
            </w:tcMar>
            <w:shd w:fill="F9FAFB"/>
          </w:tcPr>
          <w:p>
            <w:pPr>
              <w:spacing w:after="0"/>
            </w:pPr>
            <w:r>
              <w:rPr>
                <w:b/>
                <w:sz w:val="17"/>
              </w:rPr>
              <w:t>Identificador:</w:t>
            </w:r>
          </w:p>
        </w:tc>
        <w:tc>
          <w:tcPr>
            <w:tcW w:type="dxa" w:w="2880"/>
            <w:vAlign w:val="center"/>
            <w:tcMar>
              <w:top w:w="70" w:type="dxa"/>
              <w:bottom w:w="70" w:type="dxa"/>
              <w:left w:w="100" w:type="dxa"/>
              <w:right w:w="100" w:type="dxa"/>
            </w:tcMar>
          </w:tcPr>
          <w:p>
            <w:pPr>
              <w:spacing w:after="0"/>
            </w:pPr>
            <w:r>
              <w:rPr>
                <w:sz w:val="17"/>
              </w:rPr>
              <w:t>DEF-2026-012</w:t>
            </w:r>
          </w:p>
        </w:tc>
        <w:tc>
          <w:tcPr>
            <w:tcW w:type="dxa" w:w="2016"/>
            <w:vAlign w:val="center"/>
            <w:tcMar>
              <w:top w:w="70" w:type="dxa"/>
              <w:bottom w:w="70" w:type="dxa"/>
              <w:left w:w="100" w:type="dxa"/>
              <w:right w:w="100" w:type="dxa"/>
            </w:tcMar>
            <w:shd w:fill="F9FAFB"/>
          </w:tcPr>
          <w:p>
            <w:pPr>
              <w:spacing w:after="0"/>
            </w:pPr>
            <w:r>
              <w:rPr>
                <w:b/>
                <w:sz w:val="17"/>
              </w:rPr>
              <w:t>Fecha de Reporte:</w:t>
            </w:r>
          </w:p>
        </w:tc>
        <w:tc>
          <w:tcPr>
            <w:tcW w:type="dxa" w:w="2304"/>
            <w:vAlign w:val="center"/>
            <w:tcMar>
              <w:top w:w="70" w:type="dxa"/>
              <w:bottom w:w="70" w:type="dxa"/>
              <w:left w:w="100" w:type="dxa"/>
              <w:right w:w="100" w:type="dxa"/>
            </w:tcMar>
          </w:tcPr>
          <w:p>
            <w:pPr>
              <w:spacing w:after="0"/>
            </w:pPr>
            <w:r>
              <w:rPr>
                <w:sz w:val="17"/>
              </w:rPr>
              <w:t>13/09/2026</w:t>
            </w:r>
          </w:p>
        </w:tc>
      </w:tr>
      <w:tr>
        <w:tc>
          <w:tcPr>
            <w:tcW w:type="dxa" w:w="2160"/>
            <w:vAlign w:val="center"/>
            <w:tcMar>
              <w:top w:w="70" w:type="dxa"/>
              <w:bottom w:w="70" w:type="dxa"/>
              <w:left w:w="100" w:type="dxa"/>
              <w:right w:w="100" w:type="dxa"/>
            </w:tcMar>
            <w:shd w:fill="F9FAFB"/>
          </w:tcPr>
          <w:p>
            <w:pPr>
              <w:spacing w:after="0"/>
            </w:pPr>
            <w:r>
              <w:rPr>
                <w:b/>
                <w:sz w:val="17"/>
              </w:rPr>
              <w:t>Módulo:</w:t>
            </w:r>
          </w:p>
        </w:tc>
        <w:tc>
          <w:tcPr>
            <w:tcW w:type="dxa" w:w="2880"/>
            <w:vAlign w:val="center"/>
            <w:tcMar>
              <w:top w:w="70" w:type="dxa"/>
              <w:bottom w:w="70" w:type="dxa"/>
              <w:left w:w="100" w:type="dxa"/>
              <w:right w:w="100" w:type="dxa"/>
            </w:tcMar>
          </w:tcPr>
          <w:p>
            <w:pPr>
              <w:spacing w:after="0"/>
            </w:pPr>
            <w:r>
              <w:rPr>
                <w:sz w:val="17"/>
              </w:rPr>
              <w:t>Coordinador de Calidad / Informes</w:t>
            </w:r>
          </w:p>
        </w:tc>
        <w:tc>
          <w:tcPr>
            <w:tcW w:type="dxa" w:w="2016"/>
            <w:vAlign w:val="center"/>
            <w:tcMar>
              <w:top w:w="70" w:type="dxa"/>
              <w:bottom w:w="70" w:type="dxa"/>
              <w:left w:w="100" w:type="dxa"/>
              <w:right w:w="100" w:type="dxa"/>
            </w:tcMar>
            <w:shd w:fill="F9FAFB"/>
          </w:tcPr>
          <w:p>
            <w:pPr>
              <w:spacing w:after="0"/>
            </w:pPr>
            <w:r>
              <w:rPr>
                <w:b/>
                <w:sz w:val="17"/>
              </w:rPr>
              <w:t>Fecha de Cierre:</w:t>
            </w:r>
          </w:p>
        </w:tc>
        <w:tc>
          <w:tcPr>
            <w:tcW w:type="dxa" w:w="2304"/>
            <w:vAlign w:val="center"/>
            <w:tcMar>
              <w:top w:w="70" w:type="dxa"/>
              <w:bottom w:w="70" w:type="dxa"/>
              <w:left w:w="100" w:type="dxa"/>
              <w:right w:w="100" w:type="dxa"/>
            </w:tcMar>
          </w:tcPr>
          <w:p>
            <w:pPr>
              <w:spacing w:after="0"/>
            </w:pPr>
            <w:r>
              <w:rPr>
                <w:sz w:val="17"/>
              </w:rPr>
              <w:t>13/09/2026</w:t>
            </w:r>
          </w:p>
        </w:tc>
      </w:tr>
      <w:tr>
        <w:tc>
          <w:tcPr>
            <w:tcW w:type="dxa" w:w="2160"/>
            <w:vAlign w:val="center"/>
            <w:tcMar>
              <w:top w:w="70" w:type="dxa"/>
              <w:bottom w:w="70" w:type="dxa"/>
              <w:left w:w="100" w:type="dxa"/>
              <w:right w:w="100" w:type="dxa"/>
            </w:tcMar>
            <w:shd w:fill="F9FAFB"/>
          </w:tcPr>
          <w:p>
            <w:pPr>
              <w:spacing w:after="0"/>
            </w:pPr>
            <w:r>
              <w:rPr>
                <w:b/>
                <w:sz w:val="17"/>
              </w:rPr>
              <w:t>Severidad:</w:t>
            </w:r>
          </w:p>
        </w:tc>
        <w:tc>
          <w:tcPr>
            <w:tcW w:type="dxa" w:w="2880"/>
            <w:vAlign w:val="center"/>
            <w:tcMar>
              <w:top w:w="70" w:type="dxa"/>
              <w:bottom w:w="70" w:type="dxa"/>
              <w:left w:w="100" w:type="dxa"/>
              <w:right w:w="100" w:type="dxa"/>
            </w:tcMar>
          </w:tcPr>
          <w:p>
            <w:pPr>
              <w:spacing w:after="0"/>
            </w:pPr>
            <w:r>
              <w:rPr>
                <w:sz w:val="17"/>
              </w:rPr>
              <w:t>Alta (Pérdida de Visibilidad Operativa)</w:t>
            </w:r>
          </w:p>
        </w:tc>
        <w:tc>
          <w:tcPr>
            <w:tcW w:type="dxa" w:w="2016"/>
            <w:vAlign w:val="center"/>
            <w:tcMar>
              <w:top w:w="70" w:type="dxa"/>
              <w:bottom w:w="70" w:type="dxa"/>
              <w:left w:w="100" w:type="dxa"/>
              <w:right w:w="100" w:type="dxa"/>
            </w:tcMar>
            <w:shd w:fill="F9FAFB"/>
          </w:tcPr>
          <w:p>
            <w:pPr>
              <w:spacing w:after="0"/>
            </w:pPr>
            <w:r>
              <w:rPr>
                <w:b/>
                <w:sz w:val="17"/>
              </w:rPr>
              <w:t>Prioridad:</w:t>
            </w:r>
          </w:p>
        </w:tc>
        <w:tc>
          <w:tcPr>
            <w:tcW w:type="dxa" w:w="2304"/>
            <w:vAlign w:val="center"/>
            <w:tcMar>
              <w:top w:w="70" w:type="dxa"/>
              <w:bottom w:w="70" w:type="dxa"/>
              <w:left w:w="100" w:type="dxa"/>
              <w:right w:w="100" w:type="dxa"/>
            </w:tcMar>
          </w:tcPr>
          <w:p>
            <w:pPr>
              <w:spacing w:after="0"/>
            </w:pPr>
            <w:r>
              <w:rPr>
                <w:sz w:val="17"/>
              </w:rPr>
              <w:t>P1 (Urgente)</w:t>
            </w:r>
          </w:p>
        </w:tc>
      </w:tr>
      <w:tr>
        <w:tc>
          <w:tcPr>
            <w:tcW w:type="dxa" w:w="2160"/>
            <w:vAlign w:val="center"/>
            <w:tcMar>
              <w:top w:w="70" w:type="dxa"/>
              <w:bottom w:w="70" w:type="dxa"/>
              <w:left w:w="100" w:type="dxa"/>
              <w:right w:w="100" w:type="dxa"/>
            </w:tcMar>
            <w:shd w:fill="F9FAFB"/>
          </w:tcPr>
          <w:p>
            <w:pPr>
              <w:spacing w:after="0"/>
            </w:pPr>
            <w:r>
              <w:rPr>
                <w:b/>
                <w:sz w:val="17"/>
              </w:rPr>
              <w:t>Tipo de Defecto:</w:t>
            </w:r>
          </w:p>
        </w:tc>
        <w:tc>
          <w:tcPr>
            <w:tcW w:type="dxa" w:w="2880"/>
            <w:vAlign w:val="center"/>
            <w:tcMar>
              <w:top w:w="70" w:type="dxa"/>
              <w:bottom w:w="70" w:type="dxa"/>
              <w:left w:w="100" w:type="dxa"/>
              <w:right w:w="100" w:type="dxa"/>
            </w:tcMar>
          </w:tcPr>
          <w:p>
            <w:pPr>
              <w:spacing w:after="0"/>
            </w:pPr>
            <w:r>
              <w:rPr>
                <w:sz w:val="17"/>
              </w:rPr>
              <w:t>Lógica de Flujo de Trabajo / Trazabilidad</w:t>
            </w:r>
          </w:p>
        </w:tc>
        <w:tc>
          <w:tcPr>
            <w:tcW w:type="dxa" w:w="2016"/>
            <w:vAlign w:val="center"/>
            <w:tcMar>
              <w:top w:w="70" w:type="dxa"/>
              <w:bottom w:w="70" w:type="dxa"/>
              <w:left w:w="100" w:type="dxa"/>
              <w:right w:w="100" w:type="dxa"/>
            </w:tcMar>
            <w:shd w:fill="F9FAFB"/>
          </w:tcPr>
          <w:p>
            <w:pPr>
              <w:spacing w:after="0"/>
            </w:pPr>
            <w:r>
              <w:rPr>
                <w:b/>
                <w:sz w:val="17"/>
              </w:rPr>
              <w:t>Ambiente:</w:t>
            </w:r>
          </w:p>
        </w:tc>
        <w:tc>
          <w:tcPr>
            <w:tcW w:type="dxa" w:w="2304"/>
            <w:vAlign w:val="center"/>
            <w:tcMar>
              <w:top w:w="70" w:type="dxa"/>
              <w:bottom w:w="70" w:type="dxa"/>
              <w:left w:w="100" w:type="dxa"/>
              <w:right w:w="100" w:type="dxa"/>
            </w:tcMar>
          </w:tcPr>
          <w:p>
            <w:pPr>
              <w:spacing w:after="0"/>
            </w:pPr>
            <w:r>
              <w:rPr>
                <w:sz w:val="17"/>
              </w:rPr>
              <w:t>Staging / QA Local (Win 11 / Chrome)</w:t>
            </w:r>
          </w:p>
        </w:tc>
      </w:tr>
      <w:tr>
        <w:tc>
          <w:tcPr>
            <w:tcW w:type="dxa" w:w="2160"/>
            <w:vAlign w:val="center"/>
            <w:tcMar>
              <w:top w:w="70" w:type="dxa"/>
              <w:bottom w:w="70" w:type="dxa"/>
              <w:left w:w="100" w:type="dxa"/>
              <w:right w:w="100" w:type="dxa"/>
            </w:tcMar>
            <w:shd w:fill="F9FAFB"/>
          </w:tcPr>
          <w:p>
            <w:pPr>
              <w:spacing w:after="0"/>
            </w:pPr>
            <w:r>
              <w:rPr>
                <w:b/>
                <w:sz w:val="17"/>
              </w:rPr>
              <w:t>Reportado Por:</w:t>
            </w:r>
          </w:p>
        </w:tc>
        <w:tc>
          <w:tcPr>
            <w:tcW w:type="dxa" w:w="2880"/>
            <w:vAlign w:val="center"/>
            <w:tcMar>
              <w:top w:w="70" w:type="dxa"/>
              <w:bottom w:w="70" w:type="dxa"/>
              <w:left w:w="100" w:type="dxa"/>
              <w:right w:w="100" w:type="dxa"/>
            </w:tcMar>
          </w:tcPr>
          <w:p>
            <w:pPr>
              <w:spacing w:after="0"/>
            </w:pPr>
            <w:r>
              <w:rPr>
                <w:sz w:val="17"/>
              </w:rPr>
              <w:t>Equipo de Pruebas de Calidad</w:t>
            </w:r>
          </w:p>
        </w:tc>
        <w:tc>
          <w:tcPr>
            <w:tcW w:type="dxa" w:w="2016"/>
            <w:vAlign w:val="center"/>
            <w:tcMar>
              <w:top w:w="70" w:type="dxa"/>
              <w:bottom w:w="70" w:type="dxa"/>
              <w:left w:w="100" w:type="dxa"/>
              <w:right w:w="100" w:type="dxa"/>
            </w:tcMar>
            <w:shd w:fill="F9FAFB"/>
          </w:tcPr>
          <w:p>
            <w:pPr>
              <w:spacing w:after="0"/>
            </w:pPr>
            <w:r>
              <w:rPr>
                <w:b/>
                <w:sz w:val="17"/>
              </w:rPr>
              <w:t>Dictamen Final:</w:t>
            </w:r>
          </w:p>
        </w:tc>
        <w:tc>
          <w:tcPr>
            <w:tcW w:type="dxa" w:w="2304"/>
            <w:vAlign w:val="center"/>
            <w:tcMar>
              <w:top w:w="70" w:type="dxa"/>
              <w:bottom w:w="70" w:type="dxa"/>
              <w:left w:w="100" w:type="dxa"/>
              <w:right w:w="100" w:type="dxa"/>
            </w:tcMar>
          </w:tcPr>
          <w:p>
            <w:pPr>
              <w:spacing w:after="0"/>
            </w:pPr>
            <w:r>
              <w:rPr>
                <w:b/>
                <w:sz w:val="17"/>
              </w:rPr>
              <w:t>RESUELTO / VERIFICADO</w:t>
            </w:r>
          </w:p>
        </w:tc>
      </w:tr>
    </w:tbl>
    <w:p>
      <w:pPr>
        <w:spacing w:after="200"/>
      </w:pPr>
    </w:p>
    <w:p>
      <w:pPr>
        <w:keepNext/>
        <w:spacing w:before="240" w:after="80"/>
      </w:pPr>
      <w:r>
        <w:rPr>
          <w:b/>
          <w:color w:val="141414"/>
          <w:sz w:val="22"/>
        </w:rPr>
        <w:t>1. DESCRIPCIÓN DEL DEFECTO</w:t>
      </w:r>
    </w:p>
    <w:p>
      <w:pPr>
        <w:spacing w:line="276" w:lineRule="auto" w:after="120"/>
      </w:pPr>
      <w:r>
        <w:rPr>
          <w:sz w:val="19"/>
        </w:rPr>
        <w:t>Al devolver un informe de evaluación al técnico para correcciones, la evaluación pasaba a estado DEVUELTA (idEstado 6) y desaparecía por completo de la vista del coordinador al no existir una sección de seguimiento. Además, no se disponía de confirmaciones previas ni de una acción para 'Deshacer devolución' si la acción se ejecutó por equivocación.</w:t>
      </w:r>
    </w:p>
    <w:p>
      <w:pPr>
        <w:keepNext/>
        <w:spacing w:before="240" w:after="80"/>
      </w:pPr>
      <w:r>
        <w:rPr>
          <w:b/>
          <w:color w:val="141414"/>
          <w:sz w:val="22"/>
        </w:rPr>
        <w:t>2. PASOS PARA LA REPRODUCCIÓN DEL HALLAZGO</w:t>
      </w:r>
    </w:p>
    <w:p>
      <w:pPr>
        <w:spacing w:after="40"/>
        <w:ind w:left="360"/>
      </w:pPr>
      <w:r>
        <w:rPr>
          <w:b/>
          <w:sz w:val="18"/>
        </w:rPr>
        <w:t xml:space="preserve">2.1 </w:t>
      </w:r>
      <w:r>
        <w:rPr>
          <w:sz w:val="18"/>
        </w:rPr>
        <w:t>Acceder como Coordinador a 'Informes pendientes de revisión'.</w:t>
      </w:r>
    </w:p>
    <w:p>
      <w:pPr>
        <w:spacing w:after="40"/>
        <w:ind w:left="360"/>
      </w:pPr>
      <w:r>
        <w:rPr>
          <w:b/>
          <w:sz w:val="18"/>
        </w:rPr>
        <w:t xml:space="preserve">2.2 </w:t>
      </w:r>
      <w:r>
        <w:rPr>
          <w:sz w:val="18"/>
        </w:rPr>
        <w:t>Pulsar 'Devolver'.</w:t>
      </w:r>
    </w:p>
    <w:p>
      <w:pPr>
        <w:spacing w:after="40"/>
        <w:ind w:left="360"/>
      </w:pPr>
      <w:r>
        <w:rPr>
          <w:b/>
          <w:sz w:val="18"/>
        </w:rPr>
        <w:t xml:space="preserve">2.3 </w:t>
      </w:r>
      <w:r>
        <w:rPr>
          <w:sz w:val="18"/>
        </w:rPr>
        <w:t>Observar que el informe se esfuma inmediatamente de la pantalla sin poder rastrearlo ni revertir la acción.</w:t>
      </w:r>
    </w:p>
    <w:p>
      <w:pPr>
        <w:keepNext/>
        <w:spacing w:before="240" w:after="80"/>
      </w:pPr>
      <w:r>
        <w:rPr>
          <w:b/>
          <w:color w:val="141414"/>
          <w:sz w:val="22"/>
        </w:rPr>
        <w:t>3. COMPORTAMIENTO OBSERVADO Y COMPORTAMIENTO ESPERADO</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4680"/>
        <w:gridCol w:w="4680"/>
      </w:tblGrid>
      <w:tr>
        <w:tc>
          <w:tcPr>
            <w:tcW w:type="dxa" w:w="4680"/>
            <w:shd w:fill="F3F4F6"/>
            <w:tcMar>
              <w:top w:w="60" w:type="dxa"/>
              <w:bottom w:w="60" w:type="dxa"/>
              <w:left w:w="80" w:type="dxa"/>
              <w:right w:w="80" w:type="dxa"/>
            </w:tcMar>
          </w:tcPr>
          <w:p>
            <w:pPr>
              <w:spacing w:after="0"/>
            </w:pPr>
            <w:r>
              <w:rPr>
                <w:b/>
                <w:sz w:val="17"/>
              </w:rPr>
              <w:t>Comportamiento Observado (Fallo)</w:t>
            </w:r>
          </w:p>
        </w:tc>
        <w:tc>
          <w:tcPr>
            <w:tcW w:type="dxa" w:w="4680"/>
            <w:shd w:fill="F3F4F6"/>
            <w:tcMar>
              <w:top w:w="60" w:type="dxa"/>
              <w:bottom w:w="60" w:type="dxa"/>
              <w:left w:w="80" w:type="dxa"/>
              <w:right w:w="80" w:type="dxa"/>
            </w:tcMar>
          </w:tcPr>
          <w:p>
            <w:pPr>
              <w:spacing w:after="0"/>
            </w:pPr>
            <w:r>
              <w:rPr>
                <w:b/>
                <w:sz w:val="17"/>
              </w:rPr>
              <w:t>Comportamiento Requerido (Correcto)</w:t>
            </w:r>
          </w:p>
        </w:tc>
      </w:tr>
      <w:tr>
        <w:tc>
          <w:tcPr>
            <w:tcW w:type="dxa" w:w="4680"/>
            <w:tcMar>
              <w:top w:w="80" w:type="dxa"/>
              <w:bottom w:w="80" w:type="dxa"/>
              <w:left w:w="80" w:type="dxa"/>
              <w:right w:w="80" w:type="dxa"/>
            </w:tcMar>
          </w:tcPr>
          <w:p>
            <w:pPr>
              <w:spacing w:after="0" w:line="276" w:lineRule="auto"/>
            </w:pPr>
            <w:r>
              <w:rPr>
                <w:sz w:val="17"/>
              </w:rPr>
              <w:t>- El informe devuelto se volvía invisible para el coordinador.</w:t>
              <w:br/>
              <w:t>- Ausencia de confirmaciones de seguridad y de opción para deshacer.</w:t>
            </w:r>
          </w:p>
        </w:tc>
        <w:tc>
          <w:tcPr>
            <w:tcW w:type="dxa" w:w="4680"/>
            <w:tcMar>
              <w:top w:w="80" w:type="dxa"/>
              <w:bottom w:w="80" w:type="dxa"/>
              <w:left w:w="80" w:type="dxa"/>
              <w:right w:w="80" w:type="dxa"/>
            </w:tcMar>
          </w:tcPr>
          <w:p>
            <w:pPr>
              <w:spacing w:after="0" w:line="276" w:lineRule="auto"/>
            </w:pPr>
            <w:r>
              <w:rPr>
                <w:sz w:val="17"/>
              </w:rPr>
              <w:t>- Diálogo modal de confirmación antes de devolver.</w:t>
              <w:br/>
              <w:t>- Sección dedicada 'Informes devueltos / en corrección' con botón 'Deshacer devolución' para retornar a EN_REVISION.</w:t>
            </w:r>
          </w:p>
        </w:tc>
      </w:tr>
    </w:tbl>
    <w:p>
      <w:pPr>
        <w:keepNext/>
        <w:spacing w:before="240" w:after="80"/>
      </w:pPr>
      <w:r>
        <w:rPr>
          <w:b/>
          <w:color w:val="141414"/>
          <w:sz w:val="22"/>
        </w:rPr>
        <w:t>4. ANÁLISIS TÉCNICO DE CAUSA RAÍZ (RCA)</w:t>
      </w:r>
    </w:p>
    <w:p>
      <w:pPr>
        <w:spacing w:line="276" w:lineRule="auto" w:after="120"/>
      </w:pPr>
      <w:r>
        <w:rPr>
          <w:sz w:val="19"/>
        </w:rPr>
        <w:t>El panel solo consultaba idEstado = 4 (EN_REVISION) y no existía un endpoint de reversión para estado DEVUELTA.</w:t>
      </w:r>
    </w:p>
    <w:p>
      <w:pPr>
        <w:keepNext/>
        <w:spacing w:before="240" w:after="80"/>
      </w:pPr>
      <w:r>
        <w:rPr>
          <w:b/>
          <w:color w:val="141414"/>
          <w:sz w:val="22"/>
        </w:rPr>
        <w:t>5. ACCIÓN CORRECTIVA Y CAMBIOS EN EL CÓDIGO</w:t>
      </w:r>
    </w:p>
    <w:p>
      <w:pPr>
        <w:spacing w:after="60"/>
        <w:ind w:left="360"/>
      </w:pPr>
      <w:r>
        <w:rPr>
          <w:b/>
          <w:sz w:val="18"/>
        </w:rPr>
        <w:t xml:space="preserve">Backend (informes.controller.ts): </w:t>
      </w:r>
      <w:r>
        <w:rPr>
          <w:sz w:val="18"/>
        </w:rPr>
        <w:t>Creación del endpoint PATCH /api/v1/informes/:evaluacionId/revertir-revision.</w:t>
      </w:r>
    </w:p>
    <w:p>
      <w:pPr>
        <w:spacing w:after="60"/>
        <w:ind w:left="360"/>
      </w:pPr>
      <w:r>
        <w:rPr>
          <w:b/>
          <w:sz w:val="18"/>
        </w:rPr>
        <w:t xml:space="preserve">Backend (informes.service.ts): </w:t>
      </w:r>
      <w:r>
        <w:rPr>
          <w:sz w:val="18"/>
        </w:rPr>
        <w:t>Método revertirRevision() transicionando de DEVUELTA a EN_REVISION con registro de auditoría.</w:t>
      </w:r>
    </w:p>
    <w:p>
      <w:pPr>
        <w:spacing w:after="60"/>
        <w:ind w:left="360"/>
      </w:pPr>
      <w:r>
        <w:rPr>
          <w:b/>
          <w:sz w:val="18"/>
        </w:rPr>
        <w:t xml:space="preserve">Frontend (DashboardCoordinador.tsx): </w:t>
      </w:r>
      <w:r>
        <w:rPr>
          <w:sz w:val="18"/>
        </w:rPr>
        <w:t>Nueva sección 'Informes devueltos / en corrección' con botón 'Deshacer devolución' y confirmaciones modales.</w:t>
      </w:r>
    </w:p>
    <w:p>
      <w:pPr>
        <w:keepNext/>
        <w:spacing w:before="240" w:after="80"/>
      </w:pPr>
      <w:r>
        <w:rPr>
          <w:b/>
          <w:color w:val="141414"/>
          <w:sz w:val="22"/>
        </w:rPr>
        <w:t>6. VERIFICACIÓN Y RESULTADOS DE PRUEBA</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4320"/>
        <w:gridCol w:w="3168"/>
        <w:gridCol w:w="1872"/>
      </w:tblGrid>
      <w:tr>
        <w:tc>
          <w:tcPr>
            <w:tcW w:type="dxa" w:w="3120"/>
            <w:shd w:fill="F3F4F6"/>
            <w:tcMar>
              <w:top w:w="60" w:type="dxa"/>
              <w:bottom w:w="60" w:type="dxa"/>
              <w:left w:w="80" w:type="dxa"/>
              <w:right w:w="80" w:type="dxa"/>
            </w:tcMar>
          </w:tcPr>
          <w:p>
            <w:pPr>
              <w:spacing w:after="0"/>
            </w:pPr>
            <w:r>
              <w:rPr>
                <w:b/>
                <w:sz w:val="17"/>
              </w:rPr>
              <w:t>Prueba Ejecutada</w:t>
            </w:r>
          </w:p>
        </w:tc>
        <w:tc>
          <w:tcPr>
            <w:tcW w:type="dxa" w:w="3120"/>
            <w:shd w:fill="F3F4F6"/>
            <w:tcMar>
              <w:top w:w="60" w:type="dxa"/>
              <w:bottom w:w="60" w:type="dxa"/>
              <w:left w:w="80" w:type="dxa"/>
              <w:right w:w="80" w:type="dxa"/>
            </w:tcMar>
          </w:tcPr>
          <w:p>
            <w:pPr>
              <w:spacing w:after="0"/>
            </w:pPr>
            <w:r>
              <w:rPr>
                <w:b/>
                <w:sz w:val="17"/>
              </w:rPr>
              <w:t>Comando de Verificación</w:t>
            </w:r>
          </w:p>
        </w:tc>
        <w:tc>
          <w:tcPr>
            <w:tcW w:type="dxa" w:w="3120"/>
            <w:shd w:fill="F3F4F6"/>
            <w:tcMar>
              <w:top w:w="60" w:type="dxa"/>
              <w:bottom w:w="60" w:type="dxa"/>
              <w:left w:w="80" w:type="dxa"/>
              <w:right w:w="80" w:type="dxa"/>
            </w:tcMar>
          </w:tcPr>
          <w:p>
            <w:pPr>
              <w:spacing w:after="0"/>
            </w:pPr>
            <w:r>
              <w:rPr>
                <w:b/>
                <w:sz w:val="17"/>
              </w:rPr>
              <w:t>Resultado</w:t>
            </w:r>
          </w:p>
        </w:tc>
      </w:tr>
      <w:tr>
        <w:tc>
          <w:tcPr>
            <w:tcW w:type="dxa" w:w="3120"/>
            <w:tcMar>
              <w:top w:w="60" w:type="dxa"/>
              <w:bottom w:w="60" w:type="dxa"/>
              <w:left w:w="80" w:type="dxa"/>
              <w:right w:w="80" w:type="dxa"/>
            </w:tcMar>
          </w:tcPr>
          <w:p>
            <w:pPr>
              <w:spacing w:after="0"/>
            </w:pPr>
            <w:r>
              <w:rPr>
                <w:sz w:val="17"/>
              </w:rPr>
              <w:t>Pruebas de controladores y servicios de informes</w:t>
            </w:r>
          </w:p>
        </w:tc>
        <w:tc>
          <w:tcPr>
            <w:tcW w:type="dxa" w:w="3120"/>
            <w:tcMar>
              <w:top w:w="60" w:type="dxa"/>
              <w:bottom w:w="60" w:type="dxa"/>
              <w:left w:w="80" w:type="dxa"/>
              <w:right w:w="80" w:type="dxa"/>
            </w:tcMar>
          </w:tcPr>
          <w:p>
            <w:pPr>
              <w:spacing w:after="0"/>
            </w:pPr>
            <w:r>
              <w:rPr>
                <w:color w:val="5A5A5A"/>
                <w:sz w:val="16"/>
              </w:rPr>
              <w:t>npm.cmd test -w apps/api</w:t>
            </w:r>
          </w:p>
        </w:tc>
        <w:tc>
          <w:tcPr>
            <w:tcW w:type="dxa" w:w="3120"/>
            <w:tcMar>
              <w:top w:w="60" w:type="dxa"/>
              <w:bottom w:w="60" w:type="dxa"/>
              <w:left w:w="80" w:type="dxa"/>
              <w:right w:w="80" w:type="dxa"/>
            </w:tcMar>
          </w:tcPr>
          <w:p>
            <w:pPr>
              <w:spacing w:after="0"/>
            </w:pPr>
            <w:r>
              <w:rPr>
                <w:b/>
                <w:sz w:val="17"/>
              </w:rPr>
              <w:t>Aprobado (56/56)</w:t>
            </w:r>
          </w:p>
        </w:tc>
      </w:tr>
      <w:tr>
        <w:tc>
          <w:tcPr>
            <w:tcW w:type="dxa" w:w="3120"/>
            <w:tcMar>
              <w:top w:w="60" w:type="dxa"/>
              <w:bottom w:w="60" w:type="dxa"/>
              <w:left w:w="80" w:type="dxa"/>
              <w:right w:w="80" w:type="dxa"/>
            </w:tcMar>
          </w:tcPr>
          <w:p>
            <w:pPr>
              <w:spacing w:after="0"/>
            </w:pPr>
            <w:r>
              <w:rPr>
                <w:sz w:val="17"/>
              </w:rPr>
              <w:t>Pruebas unitarias de interfaz DashboardCoordinador</w:t>
            </w:r>
          </w:p>
        </w:tc>
        <w:tc>
          <w:tcPr>
            <w:tcW w:type="dxa" w:w="3120"/>
            <w:tcMar>
              <w:top w:w="60" w:type="dxa"/>
              <w:bottom w:w="60" w:type="dxa"/>
              <w:left w:w="80" w:type="dxa"/>
              <w:right w:w="80" w:type="dxa"/>
            </w:tcMar>
          </w:tcPr>
          <w:p>
            <w:pPr>
              <w:spacing w:after="0"/>
            </w:pPr>
            <w:r>
              <w:rPr>
                <w:color w:val="5A5A5A"/>
                <w:sz w:val="16"/>
              </w:rPr>
              <w:t>npm.cmd test -- --run -w apps/web</w:t>
            </w:r>
          </w:p>
        </w:tc>
        <w:tc>
          <w:tcPr>
            <w:tcW w:type="dxa" w:w="3120"/>
            <w:tcMar>
              <w:top w:w="60" w:type="dxa"/>
              <w:bottom w:w="60" w:type="dxa"/>
              <w:left w:w="80" w:type="dxa"/>
              <w:right w:w="80" w:type="dxa"/>
            </w:tcMar>
          </w:tcPr>
          <w:p>
            <w:pPr>
              <w:spacing w:after="0"/>
            </w:pPr>
            <w:r>
              <w:rPr>
                <w:b/>
                <w:sz w:val="17"/>
              </w:rPr>
              <w:t>Aprobado (160/160)</w:t>
            </w:r>
          </w:p>
        </w:tc>
      </w:tr>
    </w:tbl>
    <w:p>
      <w:pPr>
        <w:keepNext/>
        <w:spacing w:before="240" w:after="80"/>
      </w:pPr>
      <w:r>
        <w:rPr>
          <w:b/>
          <w:color w:val="141414"/>
          <w:sz w:val="22"/>
        </w:rPr>
        <w:t>7. APROBACIÓN Y CONFORMIDAD</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3120"/>
        <w:gridCol w:w="3120"/>
        <w:gridCol w:w="3120"/>
      </w:tblGrid>
      <w:tr>
        <w:tc>
          <w:tcPr>
            <w:tcW w:type="dxa" w:w="3110"/>
            <w:tcMar>
              <w:top w:w="80" w:type="dxa"/>
              <w:bottom w:w="80" w:type="dxa"/>
              <w:left w:w="80" w:type="dxa"/>
              <w:right w:w="80" w:type="dxa"/>
            </w:tcMar>
            <w:shd w:fill="F9FAFB"/>
          </w:tcPr>
          <w:p>
            <w:pPr>
              <w:spacing w:after="0"/>
            </w:pPr>
            <w:r>
              <w:rPr>
                <w:b/>
                <w:sz w:val="16"/>
              </w:rPr>
              <w:t>Reportado por</w:t>
            </w:r>
          </w:p>
        </w:tc>
        <w:tc>
          <w:tcPr>
            <w:tcW w:type="dxa" w:w="3110"/>
            <w:tcMar>
              <w:top w:w="80" w:type="dxa"/>
              <w:bottom w:w="80" w:type="dxa"/>
              <w:left w:w="80" w:type="dxa"/>
              <w:right w:w="80" w:type="dxa"/>
            </w:tcMar>
            <w:shd w:fill="F9FAFB"/>
          </w:tcPr>
          <w:p>
            <w:pPr>
              <w:spacing w:after="0"/>
            </w:pPr>
            <w:r>
              <w:rPr>
                <w:b/>
                <w:sz w:val="16"/>
              </w:rPr>
              <w:t>Corregido por</w:t>
            </w:r>
          </w:p>
        </w:tc>
        <w:tc>
          <w:tcPr>
            <w:tcW w:type="dxa" w:w="3110"/>
            <w:tcMar>
              <w:top w:w="80" w:type="dxa"/>
              <w:bottom w:w="80" w:type="dxa"/>
              <w:left w:w="80" w:type="dxa"/>
              <w:right w:w="80" w:type="dxa"/>
            </w:tcMar>
            <w:shd w:fill="F9FAFB"/>
          </w:tcPr>
          <w:p>
            <w:pPr>
              <w:spacing w:after="0"/>
            </w:pPr>
            <w:r>
              <w:rPr>
                <w:b/>
                <w:sz w:val="16"/>
              </w:rPr>
              <w:t>Aprobado por (QA Lead)</w:t>
            </w:r>
          </w:p>
        </w:tc>
      </w:tr>
      <w:tr>
        <w:tc>
          <w:tcPr>
            <w:tcW w:type="dxa" w:w="3110"/>
            <w:tcMar>
              <w:top w:w="80" w:type="dxa"/>
              <w:bottom w:w="80" w:type="dxa"/>
              <w:left w:w="80" w:type="dxa"/>
              <w:right w:w="80" w:type="dxa"/>
            </w:tcMar>
          </w:tcPr>
          <w:p>
            <w:pPr>
              <w:spacing w:after="0" w:line="288" w:lineRule="auto"/>
            </w:pPr>
            <w:r>
              <w:rPr>
                <w:color w:val="3C3C3C"/>
                <w:sz w:val="16"/>
              </w:rPr>
              <w:t>Equipo de Pruebas</w:t>
              <w:br/>
              <w:t>Firma: __________________</w:t>
              <w:br/>
              <w:t>Fecha: 13/09/2026</w:t>
            </w:r>
          </w:p>
        </w:tc>
        <w:tc>
          <w:tcPr>
            <w:tcW w:type="dxa" w:w="3110"/>
            <w:tcMar>
              <w:top w:w="80" w:type="dxa"/>
              <w:bottom w:w="80" w:type="dxa"/>
              <w:left w:w="80" w:type="dxa"/>
              <w:right w:w="80" w:type="dxa"/>
            </w:tcMar>
          </w:tcPr>
          <w:p>
            <w:pPr>
              <w:spacing w:after="0" w:line="288" w:lineRule="auto"/>
            </w:pPr>
            <w:r>
              <w:rPr>
                <w:color w:val="3C3C3C"/>
                <w:sz w:val="16"/>
              </w:rPr>
              <w:t>Desarrollo Backend/Frontend</w:t>
              <w:br/>
              <w:t>Firma: __________________</w:t>
              <w:br/>
              <w:t>Fecha: 13/09/2026</w:t>
            </w:r>
          </w:p>
        </w:tc>
        <w:tc>
          <w:tcPr>
            <w:tcW w:type="dxa" w:w="3110"/>
            <w:tcMar>
              <w:top w:w="80" w:type="dxa"/>
              <w:bottom w:w="80" w:type="dxa"/>
              <w:left w:w="80" w:type="dxa"/>
              <w:right w:w="80" w:type="dxa"/>
            </w:tcMar>
          </w:tcPr>
          <w:p>
            <w:pPr>
              <w:spacing w:after="0" w:line="288" w:lineRule="auto"/>
            </w:pPr>
            <w:r>
              <w:rPr>
                <w:color w:val="3C3C3C"/>
                <w:sz w:val="16"/>
              </w:rPr>
              <w:t>Aseguramiento de Calidad</w:t>
              <w:br/>
              <w:t>Firma: __________________</w:t>
              <w:br/>
              <w:t>Fecha: 13/09/2026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