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DEF-2026-002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Motor de Riesgo — Fallo 400 por Subcategorías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DEF-2026-002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Motor de Riesgo (EBR)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Alta (Bloqueo de Cálculo Automatizado)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P1 (Urgente)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Lógica de Negocio / Integridad de Datos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Al disparar el cálculo automatizado de riesgo tras finalizar la evaluación, si el establecimiento no contaba previamente con registros en la tabla establecimiento_categoria, la API retornaba un error HTTP 400 Bad Request deteniendo abruptamente el cálculo del Riesgo Total (RT).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Crear un nuevo establecimiento sin asociarle categorías de alimento.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Asignar un técnico y ejecutar la evaluación BPM completa.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Pulsar 'Finalizar evaluación'.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Observar la respuesta de la API: 400 'El establecimiento no tiene categorías de alimento con nivel de riesgo asignado'.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Error HTTP 400 interrumpiendo el flujo de finalización.</w:t>
              <w:br/>
              <w:t>- Imposibilidad de obtener el cálculo de frecuencia de inspección.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El motor de cálculo debe operar de manera resiliente, asignando de forma transparente una subcategoría por defecto o tomando el valor base de riesgo.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El servicio motor-riesgo.service.ts ejecutaba una consulta que requería al menos un registro en establecimiento_categoria sin contemplar un valor de fallback o auto-vinculación.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(motor-riesgo.service.ts): </w:t>
      </w:r>
      <w:r>
        <w:rPr>
          <w:sz w:val="18"/>
        </w:rPr>
        <w:t>Si el establecimiento no tiene categoría registrada, se consulta automáticamente la primera del catálogo de alimentos y se asocia de forma transparente.</w:t>
      </w:r>
    </w:p>
    <w:p>
      <w:pPr>
        <w:spacing w:after="60"/>
        <w:ind w:left="360"/>
      </w:pPr>
      <w:r>
        <w:rPr>
          <w:b/>
          <w:sz w:val="18"/>
        </w:rPr>
        <w:t xml:space="preserve">Semilla (seed-demo.ts): </w:t>
      </w:r>
      <w:r>
        <w:rPr>
          <w:sz w:val="18"/>
        </w:rPr>
        <w:t>Se garantizó que todos los establecimientos cuenten con sus categorías vinculadas.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 unitaria motor-riesgo-bordes.spec.ts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 de integración de cálculo completo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