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2880"/>
      </w:tblGrid>
      <w:tr>
        <w:tc>
          <w:tcPr>
            <w:tcW w:type="dxa" w:w="4680"/>
          </w:tcPr>
          <w:p>
            <w:pPr>
              <w:spacing w:after="40"/>
            </w:pPr>
            <w:r>
              <w:rPr>
                <w:b/>
                <w:sz w:val="17"/>
              </w:rPr>
              <w:t>DIRECCIÓN GENERAL DE MEDICAMENTOS, ALIMENTOS Y PRODUCTOS SANITARIOS</w:t>
              <w:br/>
            </w:r>
            <w:r>
              <w:rPr>
                <w:color w:val="5A5A5A"/>
                <w:sz w:val="16"/>
              </w:rPr>
              <w:t>DEPARTAMENTO DE ASEGURAMIENTO DE CALIDAD (QA)</w:t>
            </w:r>
          </w:p>
        </w:tc>
        <w:tc>
          <w:tcPr>
            <w:tcW w:type="dxa" w:w="4680"/>
          </w:tcPr>
          <w:p>
            <w:pPr>
              <w:spacing w:after="40"/>
              <w:jc w:val="right"/>
            </w:pPr>
            <w:r>
              <w:rPr>
                <w:b/>
                <w:sz w:val="16"/>
              </w:rPr>
              <w:t xml:space="preserve">CÓDIGO: </w:t>
            </w:r>
            <w:r>
              <w:rPr>
                <w:b/>
                <w:sz w:val="17"/>
              </w:rPr>
              <w:t>DEF-2026-014</w:t>
              <w:br/>
            </w:r>
            <w:r>
              <w:rPr>
                <w:color w:val="5A5A5A"/>
                <w:sz w:val="15"/>
              </w:rPr>
              <w:t>VERSIÓN: 1.0 | ESTADO: CERRADO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color w:val="141414"/>
          <w:sz w:val="26"/>
        </w:rPr>
        <w:t>INFORME DE NO CONFORMIDAD / DEFECTO TÉCNICO</w:t>
      </w:r>
    </w:p>
    <w:p>
      <w:pPr>
        <w:spacing w:after="280"/>
      </w:pPr>
      <w:r>
        <w:rPr>
          <w:color w:val="5A5A5A"/>
          <w:sz w:val="19"/>
        </w:rPr>
        <w:t>Sistema: Evaluación Basada en Riesgo (EBR / BPM) | Módulo: Solicitud BPM y Catálogos — Tipos de Establecimiento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Identificador: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DEF-2026-014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Reporte: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Módulo: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Solicitudes BPM / Catálogos Admin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Cierre: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Severidad: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Media (Integridad y Estandarización de Datos)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Prioridad: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P2 (Media)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Tipo de Defecto: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Estandarización de Datos / Arquitectura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Ambiente: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Staging / QA Local (Win 11 / Chrome)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Reportado Por: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Equipo de Pruebas de Calidad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Dictamen Final: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RESUELTO / VERIFICADO</w:t>
            </w:r>
          </w:p>
        </w:tc>
      </w:tr>
    </w:tbl>
    <w:p>
      <w:pPr>
        <w:spacing w:after="200"/>
      </w:pPr>
    </w:p>
    <w:p>
      <w:pPr>
        <w:keepNext/>
        <w:spacing w:before="240" w:after="80"/>
      </w:pPr>
      <w:r>
        <w:rPr>
          <w:b/>
          <w:color w:val="141414"/>
          <w:sz w:val="22"/>
        </w:rPr>
        <w:t>1. DESCRIPCIÓN DEL DEFECTO</w:t>
      </w:r>
    </w:p>
    <w:p>
      <w:pPr>
        <w:spacing w:line="276" w:lineRule="auto" w:after="120"/>
      </w:pPr>
      <w:r>
        <w:rPr>
          <w:sz w:val="19"/>
        </w:rPr>
        <w:t>En el formulario de nueva solicitud de evaluación BPM, el tipo de establecimiento era un campo de texto libre, lo que provocaba errores tipográficos, inconsistencias y datos sucios en el sistema. Además, el administrador no disponía de una interfaz para configurar las categorías permitidas.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2. PASOS PARA LA REPRODUCCIÓN DEL HALLAZGO</w:t>
      </w:r>
    </w:p>
    <w:p>
      <w:pPr>
        <w:spacing w:after="40"/>
        <w:ind w:left="360"/>
      </w:pPr>
      <w:r>
        <w:rPr>
          <w:b/>
          <w:sz w:val="18"/>
        </w:rPr>
        <w:t xml:space="preserve">2.1 </w:t>
      </w:r>
      <w:r>
        <w:rPr>
          <w:sz w:val="18"/>
        </w:rPr>
        <w:t>Acceder como empresa a /empresa/solicitud/nueva.</w:t>
      </w:r>
    </w:p>
    <w:p>
      <w:pPr>
        <w:spacing w:after="40"/>
        <w:ind w:left="360"/>
      </w:pPr>
      <w:r>
        <w:rPr>
          <w:b/>
          <w:sz w:val="18"/>
        </w:rPr>
        <w:t xml:space="preserve">2.2 </w:t>
      </w:r>
      <w:r>
        <w:rPr>
          <w:sz w:val="18"/>
        </w:rPr>
        <w:t>Observar el campo 'Tipo de establecimiento'.</w:t>
      </w:r>
    </w:p>
    <w:p>
      <w:pPr>
        <w:spacing w:after="40"/>
        <w:ind w:left="360"/>
      </w:pPr>
      <w:r>
        <w:rPr>
          <w:b/>
          <w:sz w:val="18"/>
        </w:rPr>
        <w:t xml:space="preserve">2.3 </w:t>
      </w:r>
      <w:r>
        <w:rPr>
          <w:sz w:val="18"/>
        </w:rPr>
        <w:t>Constatar que es un TextField de texto libre sin validación contra catálogo oficial.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3. COMPORTAMIENTO OBSERVADO Y COMPORTAMIENTO ESPERADO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Observado (Fallo)</w:t>
            </w:r>
          </w:p>
        </w:tc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Requerido (Correcto)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Campo libre propenso a errores y falta de control administrativo.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Menú desplegable select alimentado dinámicamente desde un catálogo centralizado gestionado por el Administrador.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4. ANÁLISIS TÉCNICO DE CAUSA RAÍZ (RCA)</w:t>
      </w:r>
    </w:p>
    <w:p>
      <w:pPr>
        <w:spacing w:line="276" w:lineRule="auto" w:after="120"/>
      </w:pPr>
      <w:r>
        <w:rPr>
          <w:sz w:val="19"/>
        </w:rPr>
        <w:t>Ausencia de un módulo backend de catálogos para tipos de establecimiento.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5. ACCIÓN CORRECTIVA Y CAMBIOS EN EL CÓDIGO</w:t>
      </w:r>
    </w:p>
    <w:p>
      <w:pPr>
        <w:spacing w:after="60"/>
        <w:ind w:left="360"/>
      </w:pPr>
      <w:r>
        <w:rPr>
          <w:b/>
          <w:sz w:val="18"/>
        </w:rPr>
        <w:t xml:space="preserve">Backend (catalogos/): </w:t>
      </w:r>
      <w:r>
        <w:rPr>
          <w:sz w:val="18"/>
        </w:rPr>
        <w:t>Módulo CRUD completo /api/v1/catalogos/tipos-establecimiento con 8 categorías iniciales de la industria alimentaria.</w:t>
      </w:r>
    </w:p>
    <w:p>
      <w:pPr>
        <w:spacing w:after="60"/>
        <w:ind w:left="360"/>
      </w:pPr>
      <w:r>
        <w:rPr>
          <w:b/>
          <w:sz w:val="18"/>
        </w:rPr>
        <w:t xml:space="preserve">Frontend (FormularioSolicitud.tsx): </w:t>
      </w:r>
      <w:r>
        <w:rPr>
          <w:sz w:val="18"/>
        </w:rPr>
        <w:t>Reemplazo por TextField select conectado a la API de catálogos.</w:t>
      </w:r>
    </w:p>
    <w:p>
      <w:pPr>
        <w:spacing w:after="60"/>
        <w:ind w:left="360"/>
      </w:pPr>
      <w:r>
        <w:rPr>
          <w:b/>
          <w:sz w:val="18"/>
        </w:rPr>
        <w:t xml:space="preserve">Frontend (DashboardAdmin.tsx): </w:t>
      </w:r>
      <w:r>
        <w:rPr>
          <w:sz w:val="18"/>
        </w:rPr>
        <w:t>Pestaña 'Catálogos: Tipos de Establecimiento' con creación y edición rápida.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6. VERIFICACIÓN Y RESULTADOS DE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320"/>
        <w:gridCol w:w="3168"/>
        <w:gridCol w:w="1872"/>
      </w:tblGrid>
      <w:tr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Prueba Ejecutada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Comando de Verificación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Resultado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Pruebas de la API de catálogos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-w apps/api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(56/56)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Pruebas de formularios web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-- --run -w apps/web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(160/160)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7. APROBACIÓN Y CONFORMIDAD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Reportado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Corregido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Aprobado por (QA Lead)</w:t>
            </w:r>
          </w:p>
        </w:tc>
      </w:tr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Equipo de Pruebas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Desarrollo Backend/Frontend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Aseguramiento de Calidad</w:t>
              <w:br/>
              <w:t>Firma: __________________</w:t>
              <w:br/>
              <w:t>Fecha: 13/09/2026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