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6480"/>
        <w:gridCol w:w="2880"/>
      </w:tblGrid>
      <w:tr>
        <w:tc>
          <w:tcPr>
            <w:tcW w:type="dxa" w:w="4680"/>
          </w:tcPr>
          <w:p>
            <w:pPr>
              <w:spacing w:after="40"/>
            </w:pPr>
            <w:r>
              <w:rPr>
                <w:b/>
                <w:sz w:val="17"/>
              </w:rPr>
              <w:t>DIRECCIÓN GENERAL DE MEDICAMENTOS, ALIMENTOS Y PRODUCTOS SANITARIOS</w:t>
              <w:br/>
            </w:r>
            <w:r>
              <w:rPr>
                <w:color w:val="5A5A5A"/>
                <w:sz w:val="16"/>
              </w:rPr>
              <w:t>DEPARTAMENTO DE ASEGURAMIENTO DE CALIDAD (QA)</w:t>
            </w:r>
          </w:p>
        </w:tc>
        <w:tc>
          <w:tcPr>
            <w:tcW w:type="dxa" w:w="4680"/>
          </w:tcPr>
          <w:p>
            <w:pPr>
              <w:spacing w:after="40"/>
              <w:jc w:val="right"/>
            </w:pPr>
            <w:r>
              <w:rPr>
                <w:b/>
                <w:sz w:val="16"/>
              </w:rPr>
              <w:t xml:space="preserve">CÓDIGO: </w:t>
            </w:r>
            <w:r>
              <w:rPr>
                <w:b/>
                <w:sz w:val="17"/>
              </w:rPr>
              <w:t>DEF-2026-021</w:t>
              <w:br/>
            </w:r>
            <w:r>
              <w:rPr>
                <w:color w:val="5A5A5A"/>
                <w:sz w:val="15"/>
              </w:rPr>
              <w:t>VERSIÓN: 1.0 | ESTADO: CERRADO</w:t>
            </w:r>
          </w:p>
        </w:tc>
      </w:tr>
    </w:tbl>
    <w:p>
      <w:pPr>
        <w:spacing w:after="160"/>
      </w:pPr>
    </w:p>
    <w:p>
      <w:pPr>
        <w:spacing w:after="80"/>
      </w:pPr>
      <w:r>
        <w:rPr>
          <w:b/>
          <w:color w:val="141414"/>
          <w:sz w:val="26"/>
        </w:rPr>
        <w:t>INFORME DE NO CONFORMIDAD / DEFECTO TÉCNICO</w:t>
      </w:r>
    </w:p>
    <w:p>
      <w:pPr>
        <w:spacing w:after="280"/>
      </w:pPr>
      <w:r>
        <w:rPr>
          <w:color w:val="5A5A5A"/>
          <w:sz w:val="19"/>
        </w:rPr>
        <w:t>Sistema: Evaluación Basada en Riesgo (EBR / BPM) | Módulo: Técnico Evaluador — Modal Propio con GPS por Criterio y Advertencia de Borrado</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2340"/>
        <w:gridCol w:w="2340"/>
        <w:gridCol w:w="2340"/>
        <w:gridCol w:w="2340"/>
      </w:tblGrid>
      <w:tr>
        <w:tc>
          <w:tcPr>
            <w:tcW w:type="dxa" w:w="2160"/>
            <w:vAlign w:val="center"/>
            <w:tcMar>
              <w:top w:w="70" w:type="dxa"/>
              <w:bottom w:w="70" w:type="dxa"/>
              <w:left w:w="100" w:type="dxa"/>
              <w:right w:w="100" w:type="dxa"/>
            </w:tcMar>
            <w:shd w:fill="F9FAFB"/>
          </w:tcPr>
          <w:p>
            <w:pPr>
              <w:spacing w:after="0"/>
            </w:pPr>
            <w:r>
              <w:rPr>
                <w:b/>
                <w:sz w:val="17"/>
              </w:rPr>
              <w:t>Identificador:</w:t>
            </w:r>
          </w:p>
        </w:tc>
        <w:tc>
          <w:tcPr>
            <w:tcW w:type="dxa" w:w="2880"/>
            <w:vAlign w:val="center"/>
            <w:tcMar>
              <w:top w:w="70" w:type="dxa"/>
              <w:bottom w:w="70" w:type="dxa"/>
              <w:left w:w="100" w:type="dxa"/>
              <w:right w:w="100" w:type="dxa"/>
            </w:tcMar>
          </w:tcPr>
          <w:p>
            <w:pPr>
              <w:spacing w:after="0"/>
            </w:pPr>
            <w:r>
              <w:rPr>
                <w:sz w:val="17"/>
              </w:rPr>
              <w:t>DEF-2026-021</w:t>
            </w:r>
          </w:p>
        </w:tc>
        <w:tc>
          <w:tcPr>
            <w:tcW w:type="dxa" w:w="2016"/>
            <w:vAlign w:val="center"/>
            <w:tcMar>
              <w:top w:w="70" w:type="dxa"/>
              <w:bottom w:w="70" w:type="dxa"/>
              <w:left w:w="100" w:type="dxa"/>
              <w:right w:w="100" w:type="dxa"/>
            </w:tcMar>
            <w:shd w:fill="F9FAFB"/>
          </w:tcPr>
          <w:p>
            <w:pPr>
              <w:spacing w:after="0"/>
            </w:pPr>
            <w:r>
              <w:rPr>
                <w:b/>
                <w:sz w:val="17"/>
              </w:rPr>
              <w:t>Fecha de Reporte:</w:t>
            </w:r>
          </w:p>
        </w:tc>
        <w:tc>
          <w:tcPr>
            <w:tcW w:type="dxa" w:w="2304"/>
            <w:vAlign w:val="center"/>
            <w:tcMar>
              <w:top w:w="70" w:type="dxa"/>
              <w:bottom w:w="70" w:type="dxa"/>
              <w:left w:w="100" w:type="dxa"/>
              <w:right w:w="100" w:type="dxa"/>
            </w:tcMar>
          </w:tcPr>
          <w:p>
            <w:pPr>
              <w:spacing w:after="0"/>
            </w:pPr>
            <w:r>
              <w:rPr>
                <w:sz w:val="17"/>
              </w:rPr>
              <w:t>13/09/2026</w:t>
            </w:r>
          </w:p>
        </w:tc>
      </w:tr>
      <w:tr>
        <w:tc>
          <w:tcPr>
            <w:tcW w:type="dxa" w:w="2160"/>
            <w:vAlign w:val="center"/>
            <w:tcMar>
              <w:top w:w="70" w:type="dxa"/>
              <w:bottom w:w="70" w:type="dxa"/>
              <w:left w:w="100" w:type="dxa"/>
              <w:right w:w="100" w:type="dxa"/>
            </w:tcMar>
            <w:shd w:fill="F9FAFB"/>
          </w:tcPr>
          <w:p>
            <w:pPr>
              <w:spacing w:after="0"/>
            </w:pPr>
            <w:r>
              <w:rPr>
                <w:b/>
                <w:sz w:val="17"/>
              </w:rPr>
              <w:t>Módulo:</w:t>
            </w:r>
          </w:p>
        </w:tc>
        <w:tc>
          <w:tcPr>
            <w:tcW w:type="dxa" w:w="2880"/>
            <w:vAlign w:val="center"/>
            <w:tcMar>
              <w:top w:w="70" w:type="dxa"/>
              <w:bottom w:w="70" w:type="dxa"/>
              <w:left w:w="100" w:type="dxa"/>
              <w:right w:w="100" w:type="dxa"/>
            </w:tcMar>
          </w:tcPr>
          <w:p>
            <w:pPr>
              <w:spacing w:after="0"/>
            </w:pPr>
            <w:r>
              <w:rPr>
                <w:sz w:val="17"/>
              </w:rPr>
              <w:t>Ficha Técnica / Evidencias de Campo</w:t>
            </w:r>
          </w:p>
        </w:tc>
        <w:tc>
          <w:tcPr>
            <w:tcW w:type="dxa" w:w="2016"/>
            <w:vAlign w:val="center"/>
            <w:tcMar>
              <w:top w:w="70" w:type="dxa"/>
              <w:bottom w:w="70" w:type="dxa"/>
              <w:left w:w="100" w:type="dxa"/>
              <w:right w:w="100" w:type="dxa"/>
            </w:tcMar>
            <w:shd w:fill="F9FAFB"/>
          </w:tcPr>
          <w:p>
            <w:pPr>
              <w:spacing w:after="0"/>
            </w:pPr>
            <w:r>
              <w:rPr>
                <w:b/>
                <w:sz w:val="17"/>
              </w:rPr>
              <w:t>Fecha de Cierre:</w:t>
            </w:r>
          </w:p>
        </w:tc>
        <w:tc>
          <w:tcPr>
            <w:tcW w:type="dxa" w:w="2304"/>
            <w:vAlign w:val="center"/>
            <w:tcMar>
              <w:top w:w="70" w:type="dxa"/>
              <w:bottom w:w="70" w:type="dxa"/>
              <w:left w:w="100" w:type="dxa"/>
              <w:right w:w="100" w:type="dxa"/>
            </w:tcMar>
          </w:tcPr>
          <w:p>
            <w:pPr>
              <w:spacing w:after="0"/>
            </w:pPr>
            <w:r>
              <w:rPr>
                <w:sz w:val="17"/>
              </w:rPr>
              <w:t>13/09/2026</w:t>
            </w:r>
          </w:p>
        </w:tc>
      </w:tr>
      <w:tr>
        <w:tc>
          <w:tcPr>
            <w:tcW w:type="dxa" w:w="2160"/>
            <w:vAlign w:val="center"/>
            <w:tcMar>
              <w:top w:w="70" w:type="dxa"/>
              <w:bottom w:w="70" w:type="dxa"/>
              <w:left w:w="100" w:type="dxa"/>
              <w:right w:w="100" w:type="dxa"/>
            </w:tcMar>
            <w:shd w:fill="F9FAFB"/>
          </w:tcPr>
          <w:p>
            <w:pPr>
              <w:spacing w:after="0"/>
            </w:pPr>
            <w:r>
              <w:rPr>
                <w:b/>
                <w:sz w:val="17"/>
              </w:rPr>
              <w:t>Severidad:</w:t>
            </w:r>
          </w:p>
        </w:tc>
        <w:tc>
          <w:tcPr>
            <w:tcW w:type="dxa" w:w="2880"/>
            <w:vAlign w:val="center"/>
            <w:tcMar>
              <w:top w:w="70" w:type="dxa"/>
              <w:bottom w:w="70" w:type="dxa"/>
              <w:left w:w="100" w:type="dxa"/>
              <w:right w:w="100" w:type="dxa"/>
            </w:tcMar>
          </w:tcPr>
          <w:p>
            <w:pPr>
              <w:spacing w:after="0"/>
            </w:pPr>
            <w:r>
              <w:rPr>
                <w:sz w:val="17"/>
              </w:rPr>
              <w:t>Mayor (Integridad de Evidencias y Seguridad Operativa)</w:t>
            </w:r>
          </w:p>
        </w:tc>
        <w:tc>
          <w:tcPr>
            <w:tcW w:type="dxa" w:w="2016"/>
            <w:vAlign w:val="center"/>
            <w:tcMar>
              <w:top w:w="70" w:type="dxa"/>
              <w:bottom w:w="70" w:type="dxa"/>
              <w:left w:w="100" w:type="dxa"/>
              <w:right w:w="100" w:type="dxa"/>
            </w:tcMar>
            <w:shd w:fill="F9FAFB"/>
          </w:tcPr>
          <w:p>
            <w:pPr>
              <w:spacing w:after="0"/>
            </w:pPr>
            <w:r>
              <w:rPr>
                <w:b/>
                <w:sz w:val="17"/>
              </w:rPr>
              <w:t>Prioridad:</w:t>
            </w:r>
          </w:p>
        </w:tc>
        <w:tc>
          <w:tcPr>
            <w:tcW w:type="dxa" w:w="2304"/>
            <w:vAlign w:val="center"/>
            <w:tcMar>
              <w:top w:w="70" w:type="dxa"/>
              <w:bottom w:w="70" w:type="dxa"/>
              <w:left w:w="100" w:type="dxa"/>
              <w:right w:w="100" w:type="dxa"/>
            </w:tcMar>
          </w:tcPr>
          <w:p>
            <w:pPr>
              <w:spacing w:after="0"/>
            </w:pPr>
            <w:r>
              <w:rPr>
                <w:sz w:val="17"/>
              </w:rPr>
              <w:t>P1 (Alta)</w:t>
            </w:r>
          </w:p>
        </w:tc>
      </w:tr>
      <w:tr>
        <w:tc>
          <w:tcPr>
            <w:tcW w:type="dxa" w:w="2160"/>
            <w:vAlign w:val="center"/>
            <w:tcMar>
              <w:top w:w="70" w:type="dxa"/>
              <w:bottom w:w="70" w:type="dxa"/>
              <w:left w:w="100" w:type="dxa"/>
              <w:right w:w="100" w:type="dxa"/>
            </w:tcMar>
            <w:shd w:fill="F9FAFB"/>
          </w:tcPr>
          <w:p>
            <w:pPr>
              <w:spacing w:after="0"/>
            </w:pPr>
            <w:r>
              <w:rPr>
                <w:b/>
                <w:sz w:val="17"/>
              </w:rPr>
              <w:t>Tipo de Defecto:</w:t>
            </w:r>
          </w:p>
        </w:tc>
        <w:tc>
          <w:tcPr>
            <w:tcW w:type="dxa" w:w="2880"/>
            <w:vAlign w:val="center"/>
            <w:tcMar>
              <w:top w:w="70" w:type="dxa"/>
              <w:bottom w:w="70" w:type="dxa"/>
              <w:left w:w="100" w:type="dxa"/>
              <w:right w:w="100" w:type="dxa"/>
            </w:tcMar>
          </w:tcPr>
          <w:p>
            <w:pPr>
              <w:spacing w:after="0"/>
            </w:pPr>
            <w:r>
              <w:rPr>
                <w:sz w:val="17"/>
              </w:rPr>
              <w:t>Funcionalidad de Campo / Heurística de Seguridad</w:t>
            </w:r>
          </w:p>
        </w:tc>
        <w:tc>
          <w:tcPr>
            <w:tcW w:type="dxa" w:w="2016"/>
            <w:vAlign w:val="center"/>
            <w:tcMar>
              <w:top w:w="70" w:type="dxa"/>
              <w:bottom w:w="70" w:type="dxa"/>
              <w:left w:w="100" w:type="dxa"/>
              <w:right w:w="100" w:type="dxa"/>
            </w:tcMar>
            <w:shd w:fill="F9FAFB"/>
          </w:tcPr>
          <w:p>
            <w:pPr>
              <w:spacing w:after="0"/>
            </w:pPr>
            <w:r>
              <w:rPr>
                <w:b/>
                <w:sz w:val="17"/>
              </w:rPr>
              <w:t>Ambiente:</w:t>
            </w:r>
          </w:p>
        </w:tc>
        <w:tc>
          <w:tcPr>
            <w:tcW w:type="dxa" w:w="2304"/>
            <w:vAlign w:val="center"/>
            <w:tcMar>
              <w:top w:w="70" w:type="dxa"/>
              <w:bottom w:w="70" w:type="dxa"/>
              <w:left w:w="100" w:type="dxa"/>
              <w:right w:w="100" w:type="dxa"/>
            </w:tcMar>
          </w:tcPr>
          <w:p>
            <w:pPr>
              <w:spacing w:after="0"/>
            </w:pPr>
            <w:r>
              <w:rPr>
                <w:sz w:val="17"/>
              </w:rPr>
              <w:t>Staging / QA Local (Win 11 / Chrome)</w:t>
            </w:r>
          </w:p>
        </w:tc>
      </w:tr>
      <w:tr>
        <w:tc>
          <w:tcPr>
            <w:tcW w:type="dxa" w:w="2160"/>
            <w:vAlign w:val="center"/>
            <w:tcMar>
              <w:top w:w="70" w:type="dxa"/>
              <w:bottom w:w="70" w:type="dxa"/>
              <w:left w:w="100" w:type="dxa"/>
              <w:right w:w="100" w:type="dxa"/>
            </w:tcMar>
            <w:shd w:fill="F9FAFB"/>
          </w:tcPr>
          <w:p>
            <w:pPr>
              <w:spacing w:after="0"/>
            </w:pPr>
            <w:r>
              <w:rPr>
                <w:b/>
                <w:sz w:val="17"/>
              </w:rPr>
              <w:t>Reportado Por:</w:t>
            </w:r>
          </w:p>
        </w:tc>
        <w:tc>
          <w:tcPr>
            <w:tcW w:type="dxa" w:w="2880"/>
            <w:vAlign w:val="center"/>
            <w:tcMar>
              <w:top w:w="70" w:type="dxa"/>
              <w:bottom w:w="70" w:type="dxa"/>
              <w:left w:w="100" w:type="dxa"/>
              <w:right w:w="100" w:type="dxa"/>
            </w:tcMar>
          </w:tcPr>
          <w:p>
            <w:pPr>
              <w:spacing w:after="0"/>
            </w:pPr>
            <w:r>
              <w:rPr>
                <w:sz w:val="17"/>
              </w:rPr>
              <w:t>Equipo de Pruebas de Calidad</w:t>
            </w:r>
          </w:p>
        </w:tc>
        <w:tc>
          <w:tcPr>
            <w:tcW w:type="dxa" w:w="2016"/>
            <w:vAlign w:val="center"/>
            <w:tcMar>
              <w:top w:w="70" w:type="dxa"/>
              <w:bottom w:w="70" w:type="dxa"/>
              <w:left w:w="100" w:type="dxa"/>
              <w:right w:w="100" w:type="dxa"/>
            </w:tcMar>
            <w:shd w:fill="F9FAFB"/>
          </w:tcPr>
          <w:p>
            <w:pPr>
              <w:spacing w:after="0"/>
            </w:pPr>
            <w:r>
              <w:rPr>
                <w:b/>
                <w:sz w:val="17"/>
              </w:rPr>
              <w:t>Dictamen Final:</w:t>
            </w:r>
          </w:p>
        </w:tc>
        <w:tc>
          <w:tcPr>
            <w:tcW w:type="dxa" w:w="2304"/>
            <w:vAlign w:val="center"/>
            <w:tcMar>
              <w:top w:w="70" w:type="dxa"/>
              <w:bottom w:w="70" w:type="dxa"/>
              <w:left w:w="100" w:type="dxa"/>
              <w:right w:w="100" w:type="dxa"/>
            </w:tcMar>
          </w:tcPr>
          <w:p>
            <w:pPr>
              <w:spacing w:after="0"/>
            </w:pPr>
            <w:r>
              <w:rPr>
                <w:b/>
                <w:sz w:val="17"/>
              </w:rPr>
              <w:t>RESUELTO / VERIFICADO</w:t>
            </w:r>
          </w:p>
        </w:tc>
      </w:tr>
    </w:tbl>
    <w:p>
      <w:pPr>
        <w:spacing w:after="200"/>
      </w:pPr>
    </w:p>
    <w:p>
      <w:pPr>
        <w:keepNext/>
        <w:spacing w:before="240" w:after="80"/>
      </w:pPr>
      <w:r>
        <w:rPr>
          <w:b/>
          <w:color w:val="141414"/>
          <w:sz w:val="22"/>
        </w:rPr>
        <w:t>1. DESCRIPCIÓN DEL DEFECTO</w:t>
      </w:r>
    </w:p>
    <w:p>
      <w:pPr>
        <w:spacing w:line="276" w:lineRule="auto" w:after="120"/>
      </w:pPr>
      <w:r>
        <w:rPr>
          <w:sz w:val="19"/>
        </w:rPr>
        <w:t>Los criterios evaluables no contaban con modal individual para capturar geolocalización geográfica GPS específica del hallazgo. Asimismo, la eliminación de evidencias operaba sin diálogo de advertencia previo, ocasionando borrados accidentales en dispositivos móviles táctiles.</w:t>
      </w:r>
    </w:p>
    <w:p>
      <w:pPr>
        <w:keepNext/>
        <w:spacing w:before="240" w:after="80"/>
      </w:pPr>
      <w:r>
        <w:rPr>
          <w:b/>
          <w:color w:val="141414"/>
          <w:sz w:val="22"/>
        </w:rPr>
        <w:t>2. PASOS PARA LA REPRODUCCIÓN DEL HALLAZGO</w:t>
      </w:r>
    </w:p>
    <w:p>
      <w:pPr>
        <w:spacing w:after="40"/>
        <w:ind w:left="360"/>
      </w:pPr>
      <w:r>
        <w:rPr>
          <w:b/>
          <w:sz w:val="18"/>
        </w:rPr>
        <w:t xml:space="preserve">2.1 </w:t>
      </w:r>
      <w:r>
        <w:rPr>
          <w:sz w:val="18"/>
        </w:rPr>
        <w:t>Ingresar a una evaluación en curso y responder un criterio de inspección.</w:t>
      </w:r>
    </w:p>
    <w:p>
      <w:pPr>
        <w:spacing w:after="40"/>
        <w:ind w:left="360"/>
      </w:pPr>
      <w:r>
        <w:rPr>
          <w:b/>
          <w:sz w:val="18"/>
        </w:rPr>
        <w:t xml:space="preserve">2.2 </w:t>
      </w:r>
      <w:r>
        <w:rPr>
          <w:sz w:val="18"/>
        </w:rPr>
        <w:t>Pulsar 'Adjuntar evidencia' en dicho criterio.</w:t>
      </w:r>
    </w:p>
    <w:p>
      <w:pPr>
        <w:spacing w:after="40"/>
        <w:ind w:left="360"/>
      </w:pPr>
      <w:r>
        <w:rPr>
          <w:b/>
          <w:sz w:val="18"/>
        </w:rPr>
        <w:t xml:space="preserve">2.3 </w:t>
      </w:r>
      <w:r>
        <w:rPr>
          <w:sz w:val="18"/>
        </w:rPr>
        <w:t>Constatar que no se abría un modal con GPS y que pulsar la papelera borraba archivos sin confirmar.</w:t>
      </w:r>
    </w:p>
    <w:p>
      <w:pPr>
        <w:keepNext/>
        <w:spacing w:before="240" w:after="80"/>
      </w:pPr>
      <w:r>
        <w:rPr>
          <w:b/>
          <w:color w:val="141414"/>
          <w:sz w:val="22"/>
        </w:rPr>
        <w:t>3. COMPORTAMIENTO OBSERVADO Y COMPORTAMIENTO ESPERADO</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4680"/>
        <w:gridCol w:w="4680"/>
      </w:tblGrid>
      <w:tr>
        <w:tc>
          <w:tcPr>
            <w:tcW w:type="dxa" w:w="4680"/>
            <w:shd w:fill="F3F4F6"/>
            <w:tcMar>
              <w:top w:w="60" w:type="dxa"/>
              <w:bottom w:w="60" w:type="dxa"/>
              <w:left w:w="80" w:type="dxa"/>
              <w:right w:w="80" w:type="dxa"/>
            </w:tcMar>
          </w:tcPr>
          <w:p>
            <w:pPr>
              <w:spacing w:after="0"/>
            </w:pPr>
            <w:r>
              <w:rPr>
                <w:b/>
                <w:sz w:val="17"/>
              </w:rPr>
              <w:t>Comportamiento Observado (Fallo)</w:t>
            </w:r>
          </w:p>
        </w:tc>
        <w:tc>
          <w:tcPr>
            <w:tcW w:type="dxa" w:w="4680"/>
            <w:shd w:fill="F3F4F6"/>
            <w:tcMar>
              <w:top w:w="60" w:type="dxa"/>
              <w:bottom w:w="60" w:type="dxa"/>
              <w:left w:w="80" w:type="dxa"/>
              <w:right w:w="80" w:type="dxa"/>
            </w:tcMar>
          </w:tcPr>
          <w:p>
            <w:pPr>
              <w:spacing w:after="0"/>
            </w:pPr>
            <w:r>
              <w:rPr>
                <w:b/>
                <w:sz w:val="17"/>
              </w:rPr>
              <w:t>Comportamiento Requerido (Correcto)</w:t>
            </w:r>
          </w:p>
        </w:tc>
      </w:tr>
      <w:tr>
        <w:tc>
          <w:tcPr>
            <w:tcW w:type="dxa" w:w="4680"/>
            <w:tcMar>
              <w:top w:w="80" w:type="dxa"/>
              <w:bottom w:w="80" w:type="dxa"/>
              <w:left w:w="80" w:type="dxa"/>
              <w:right w:w="80" w:type="dxa"/>
            </w:tcMar>
          </w:tcPr>
          <w:p>
            <w:pPr>
              <w:spacing w:after="0" w:line="276" w:lineRule="auto"/>
            </w:pPr>
            <w:r>
              <w:rPr>
                <w:sz w:val="17"/>
              </w:rPr>
              <w:t>- Falta de georreferenciación puntual del criterio y pérdida de archivos por toques accidentales.</w:t>
            </w:r>
          </w:p>
        </w:tc>
        <w:tc>
          <w:tcPr>
            <w:tcW w:type="dxa" w:w="4680"/>
            <w:tcMar>
              <w:top w:w="80" w:type="dxa"/>
              <w:bottom w:w="80" w:type="dxa"/>
              <w:left w:w="80" w:type="dxa"/>
              <w:right w:w="80" w:type="dxa"/>
            </w:tcMar>
          </w:tcPr>
          <w:p>
            <w:pPr>
              <w:spacing w:after="0" w:line="276" w:lineRule="auto"/>
            </w:pPr>
            <w:r>
              <w:rPr>
                <w:sz w:val="17"/>
              </w:rPr>
              <w:t>- Modal exclusivo por criterio con subida multimedia y captura GPS GeoJSON, junto a diálogo de confirmación antes de eliminar.</w:t>
            </w:r>
          </w:p>
        </w:tc>
      </w:tr>
    </w:tbl>
    <w:p>
      <w:pPr>
        <w:keepNext/>
        <w:spacing w:before="240" w:after="80"/>
      </w:pPr>
      <w:r>
        <w:rPr>
          <w:b/>
          <w:color w:val="141414"/>
          <w:sz w:val="22"/>
        </w:rPr>
        <w:t>4. ANÁLISIS TÉCNICO DE CAUSA RAÍZ (RCA)</w:t>
      </w:r>
    </w:p>
    <w:p>
      <w:pPr>
        <w:spacing w:line="276" w:lineRule="auto" w:after="120"/>
      </w:pPr>
      <w:r>
        <w:rPr>
          <w:sz w:val="19"/>
        </w:rPr>
        <w:t>Desactivación de permitirGps en FilaCriterio y carencia de un estado de confirmación en la acción de borrado.</w:t>
      </w:r>
    </w:p>
    <w:p>
      <w:pPr>
        <w:keepNext/>
        <w:spacing w:before="240" w:after="80"/>
      </w:pPr>
      <w:r>
        <w:rPr>
          <w:b/>
          <w:color w:val="141414"/>
          <w:sz w:val="22"/>
        </w:rPr>
        <w:t>5. ACCIÓN CORRECTIVA Y CAMBIOS EN EL CÓDIGO</w:t>
      </w:r>
    </w:p>
    <w:p>
      <w:pPr>
        <w:spacing w:after="60"/>
        <w:ind w:left="360"/>
      </w:pPr>
      <w:r>
        <w:rPr>
          <w:b/>
          <w:sz w:val="18"/>
        </w:rPr>
        <w:t xml:space="preserve">Frontend (EjecutarEvaluacion.tsx): </w:t>
      </w:r>
      <w:r>
        <w:rPr>
          <w:sz w:val="18"/>
        </w:rPr>
        <w:t>Habilitación de modal individual con GPS y exportación GeoJSON vinculado a respuestaItemId.</w:t>
      </w:r>
    </w:p>
    <w:p>
      <w:pPr>
        <w:spacing w:after="60"/>
        <w:ind w:left="360"/>
      </w:pPr>
      <w:r>
        <w:rPr>
          <w:b/>
          <w:sz w:val="18"/>
        </w:rPr>
        <w:t xml:space="preserve">Frontend (EjecutarEvaluacion.tsx): </w:t>
      </w:r>
      <w:r>
        <w:rPr>
          <w:sz w:val="18"/>
        </w:rPr>
        <w:t>Implementación de diálogo modal de confirmación y advertencia destructiva previa al borrado.</w:t>
      </w:r>
    </w:p>
    <w:p>
      <w:pPr>
        <w:spacing w:after="60"/>
        <w:ind w:left="360"/>
      </w:pPr>
      <w:r>
        <w:rPr>
          <w:b/>
          <w:sz w:val="18"/>
        </w:rPr>
        <w:t xml:space="preserve">Pruebas unitarias: </w:t>
      </w:r>
      <w:r>
        <w:rPr>
          <w:sz w:val="18"/>
        </w:rPr>
        <w:t>Nueva suite validando apertura del modal propio con GPS y diálogo de advertencia de borrado.</w:t>
      </w:r>
    </w:p>
    <w:p>
      <w:pPr>
        <w:keepNext/>
        <w:spacing w:before="240" w:after="80"/>
      </w:pPr>
      <w:r>
        <w:rPr>
          <w:b/>
          <w:color w:val="141414"/>
          <w:sz w:val="22"/>
        </w:rPr>
        <w:t>6. VERIFICACIÓN Y RESULTADOS DE PRUEBA</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4320"/>
        <w:gridCol w:w="3168"/>
        <w:gridCol w:w="1872"/>
      </w:tblGrid>
      <w:tr>
        <w:tc>
          <w:tcPr>
            <w:tcW w:type="dxa" w:w="3120"/>
            <w:shd w:fill="F3F4F6"/>
            <w:tcMar>
              <w:top w:w="60" w:type="dxa"/>
              <w:bottom w:w="60" w:type="dxa"/>
              <w:left w:w="80" w:type="dxa"/>
              <w:right w:w="80" w:type="dxa"/>
            </w:tcMar>
          </w:tcPr>
          <w:p>
            <w:pPr>
              <w:spacing w:after="0"/>
            </w:pPr>
            <w:r>
              <w:rPr>
                <w:b/>
                <w:sz w:val="17"/>
              </w:rPr>
              <w:t>Prueba Ejecutada</w:t>
            </w:r>
          </w:p>
        </w:tc>
        <w:tc>
          <w:tcPr>
            <w:tcW w:type="dxa" w:w="3120"/>
            <w:shd w:fill="F3F4F6"/>
            <w:tcMar>
              <w:top w:w="60" w:type="dxa"/>
              <w:bottom w:w="60" w:type="dxa"/>
              <w:left w:w="80" w:type="dxa"/>
              <w:right w:w="80" w:type="dxa"/>
            </w:tcMar>
          </w:tcPr>
          <w:p>
            <w:pPr>
              <w:spacing w:after="0"/>
            </w:pPr>
            <w:r>
              <w:rPr>
                <w:b/>
                <w:sz w:val="17"/>
              </w:rPr>
              <w:t>Comando de Verificación</w:t>
            </w:r>
          </w:p>
        </w:tc>
        <w:tc>
          <w:tcPr>
            <w:tcW w:type="dxa" w:w="3120"/>
            <w:shd w:fill="F3F4F6"/>
            <w:tcMar>
              <w:top w:w="60" w:type="dxa"/>
              <w:bottom w:w="60" w:type="dxa"/>
              <w:left w:w="80" w:type="dxa"/>
              <w:right w:w="80" w:type="dxa"/>
            </w:tcMar>
          </w:tcPr>
          <w:p>
            <w:pPr>
              <w:spacing w:after="0"/>
            </w:pPr>
            <w:r>
              <w:rPr>
                <w:b/>
                <w:sz w:val="17"/>
              </w:rPr>
              <w:t>Resultado</w:t>
            </w:r>
          </w:p>
        </w:tc>
      </w:tr>
      <w:tr>
        <w:tc>
          <w:tcPr>
            <w:tcW w:type="dxa" w:w="3120"/>
            <w:tcMar>
              <w:top w:w="60" w:type="dxa"/>
              <w:bottom w:w="60" w:type="dxa"/>
              <w:left w:w="80" w:type="dxa"/>
              <w:right w:w="80" w:type="dxa"/>
            </w:tcMar>
          </w:tcPr>
          <w:p>
            <w:pPr>
              <w:spacing w:after="0"/>
            </w:pPr>
            <w:r>
              <w:rPr>
                <w:sz w:val="17"/>
              </w:rPr>
              <w:t>Pruebas unitarias de modal y confirmación</w:t>
            </w:r>
          </w:p>
        </w:tc>
        <w:tc>
          <w:tcPr>
            <w:tcW w:type="dxa" w:w="3120"/>
            <w:tcMar>
              <w:top w:w="60" w:type="dxa"/>
              <w:bottom w:w="60" w:type="dxa"/>
              <w:left w:w="80" w:type="dxa"/>
              <w:right w:w="80" w:type="dxa"/>
            </w:tcMar>
          </w:tcPr>
          <w:p>
            <w:pPr>
              <w:spacing w:after="0"/>
            </w:pPr>
            <w:r>
              <w:rPr>
                <w:color w:val="5A5A5A"/>
                <w:sz w:val="16"/>
              </w:rPr>
              <w:t>npx.cmd vitest run src/pages/tecnico/EjecutarEvaluacion.test.tsx</w:t>
            </w:r>
          </w:p>
        </w:tc>
        <w:tc>
          <w:tcPr>
            <w:tcW w:type="dxa" w:w="3120"/>
            <w:tcMar>
              <w:top w:w="60" w:type="dxa"/>
              <w:bottom w:w="60" w:type="dxa"/>
              <w:left w:w="80" w:type="dxa"/>
              <w:right w:w="80" w:type="dxa"/>
            </w:tcMar>
          </w:tcPr>
          <w:p>
            <w:pPr>
              <w:spacing w:after="0"/>
            </w:pPr>
            <w:r>
              <w:rPr>
                <w:b/>
                <w:sz w:val="17"/>
              </w:rPr>
              <w:t>Aprobado (9/9)</w:t>
            </w:r>
          </w:p>
        </w:tc>
      </w:tr>
      <w:tr>
        <w:tc>
          <w:tcPr>
            <w:tcW w:type="dxa" w:w="3120"/>
            <w:tcMar>
              <w:top w:w="60" w:type="dxa"/>
              <w:bottom w:w="60" w:type="dxa"/>
              <w:left w:w="80" w:type="dxa"/>
              <w:right w:w="80" w:type="dxa"/>
            </w:tcMar>
          </w:tcPr>
          <w:p>
            <w:pPr>
              <w:spacing w:after="0"/>
            </w:pPr>
            <w:r>
              <w:rPr>
                <w:sz w:val="17"/>
              </w:rPr>
              <w:t>Suite completa frontend</w:t>
            </w:r>
          </w:p>
        </w:tc>
        <w:tc>
          <w:tcPr>
            <w:tcW w:type="dxa" w:w="3120"/>
            <w:tcMar>
              <w:top w:w="60" w:type="dxa"/>
              <w:bottom w:w="60" w:type="dxa"/>
              <w:left w:w="80" w:type="dxa"/>
              <w:right w:w="80" w:type="dxa"/>
            </w:tcMar>
          </w:tcPr>
          <w:p>
            <w:pPr>
              <w:spacing w:after="0"/>
            </w:pPr>
            <w:r>
              <w:rPr>
                <w:color w:val="5A5A5A"/>
                <w:sz w:val="16"/>
              </w:rPr>
              <w:t>npm.cmd test -w apps/web</w:t>
            </w:r>
          </w:p>
        </w:tc>
        <w:tc>
          <w:tcPr>
            <w:tcW w:type="dxa" w:w="3120"/>
            <w:tcMar>
              <w:top w:w="60" w:type="dxa"/>
              <w:bottom w:w="60" w:type="dxa"/>
              <w:left w:w="80" w:type="dxa"/>
              <w:right w:w="80" w:type="dxa"/>
            </w:tcMar>
          </w:tcPr>
          <w:p>
            <w:pPr>
              <w:spacing w:after="0"/>
            </w:pPr>
            <w:r>
              <w:rPr>
                <w:b/>
                <w:sz w:val="17"/>
              </w:rPr>
              <w:t>Aprobado (182/182)</w:t>
            </w:r>
          </w:p>
        </w:tc>
      </w:tr>
    </w:tbl>
    <w:p>
      <w:pPr>
        <w:keepNext/>
        <w:spacing w:before="240" w:after="80"/>
      </w:pPr>
      <w:r>
        <w:rPr>
          <w:b/>
          <w:color w:val="141414"/>
          <w:sz w:val="22"/>
        </w:rPr>
        <w:t>7. APROBACIÓN Y CONFORMIDAD</w:t>
      </w:r>
    </w:p>
    <w:tbl>
      <w:tblPr>
        <w:tblW w:type="auto" w:w="0"/>
        <w:jc w:val="center"/>
        <w:tblLayout w:type="fixed"/>
        <w:tblLook w:firstColumn="1" w:firstRow="1" w:lastColumn="0" w:lastRow="0" w:noHBand="0" w:noVBand="1" w:val="04A0"/>
        <w:tblBorders>
          <w:top w:val="single" w:sz="4" w:space="0" w:color="D1D5DB"/>
          <w:bottom w:val="single" w:sz="4" w:space="0" w:color="D1D5DB"/>
          <w:insideH w:val="single" w:sz="4" w:space="0" w:color="D1D5DB"/>
          <w:insideV w:val="single" w:sz="4" w:space="0" w:color="D1D5DB"/>
          <w:left w:val="none"/>
          <w:right w:val="none"/>
        </w:tblBorders>
      </w:tblPr>
      <w:tblGrid>
        <w:gridCol w:w="3120"/>
        <w:gridCol w:w="3120"/>
        <w:gridCol w:w="3120"/>
      </w:tblGrid>
      <w:tr>
        <w:tc>
          <w:tcPr>
            <w:tcW w:type="dxa" w:w="3110"/>
            <w:tcMar>
              <w:top w:w="80" w:type="dxa"/>
              <w:bottom w:w="80" w:type="dxa"/>
              <w:left w:w="80" w:type="dxa"/>
              <w:right w:w="80" w:type="dxa"/>
            </w:tcMar>
            <w:shd w:fill="F9FAFB"/>
          </w:tcPr>
          <w:p>
            <w:pPr>
              <w:spacing w:after="0"/>
            </w:pPr>
            <w:r>
              <w:rPr>
                <w:b/>
                <w:sz w:val="16"/>
              </w:rPr>
              <w:t>Reportado por</w:t>
            </w:r>
          </w:p>
        </w:tc>
        <w:tc>
          <w:tcPr>
            <w:tcW w:type="dxa" w:w="3110"/>
            <w:tcMar>
              <w:top w:w="80" w:type="dxa"/>
              <w:bottom w:w="80" w:type="dxa"/>
              <w:left w:w="80" w:type="dxa"/>
              <w:right w:w="80" w:type="dxa"/>
            </w:tcMar>
            <w:shd w:fill="F9FAFB"/>
          </w:tcPr>
          <w:p>
            <w:pPr>
              <w:spacing w:after="0"/>
            </w:pPr>
            <w:r>
              <w:rPr>
                <w:b/>
                <w:sz w:val="16"/>
              </w:rPr>
              <w:t>Corregido por</w:t>
            </w:r>
          </w:p>
        </w:tc>
        <w:tc>
          <w:tcPr>
            <w:tcW w:type="dxa" w:w="3110"/>
            <w:tcMar>
              <w:top w:w="80" w:type="dxa"/>
              <w:bottom w:w="80" w:type="dxa"/>
              <w:left w:w="80" w:type="dxa"/>
              <w:right w:w="80" w:type="dxa"/>
            </w:tcMar>
            <w:shd w:fill="F9FAFB"/>
          </w:tcPr>
          <w:p>
            <w:pPr>
              <w:spacing w:after="0"/>
            </w:pPr>
            <w:r>
              <w:rPr>
                <w:b/>
                <w:sz w:val="16"/>
              </w:rPr>
              <w:t>Aprobado por (QA Lead)</w:t>
            </w:r>
          </w:p>
        </w:tc>
      </w:tr>
      <w:tr>
        <w:tc>
          <w:tcPr>
            <w:tcW w:type="dxa" w:w="3110"/>
            <w:tcMar>
              <w:top w:w="80" w:type="dxa"/>
              <w:bottom w:w="80" w:type="dxa"/>
              <w:left w:w="80" w:type="dxa"/>
              <w:right w:w="80" w:type="dxa"/>
            </w:tcMar>
          </w:tcPr>
          <w:p>
            <w:pPr>
              <w:spacing w:after="0" w:line="288" w:lineRule="auto"/>
            </w:pPr>
            <w:r>
              <w:rPr>
                <w:color w:val="3C3C3C"/>
                <w:sz w:val="16"/>
              </w:rPr>
              <w:t>Equipo de Pruebas</w:t>
              <w:br/>
              <w:t>Firma: __________________</w:t>
              <w:br/>
              <w:t>Fecha: 13/09/2026</w:t>
            </w:r>
          </w:p>
        </w:tc>
        <w:tc>
          <w:tcPr>
            <w:tcW w:type="dxa" w:w="3110"/>
            <w:tcMar>
              <w:top w:w="80" w:type="dxa"/>
              <w:bottom w:w="80" w:type="dxa"/>
              <w:left w:w="80" w:type="dxa"/>
              <w:right w:w="80" w:type="dxa"/>
            </w:tcMar>
          </w:tcPr>
          <w:p>
            <w:pPr>
              <w:spacing w:after="0" w:line="288" w:lineRule="auto"/>
            </w:pPr>
            <w:r>
              <w:rPr>
                <w:color w:val="3C3C3C"/>
                <w:sz w:val="16"/>
              </w:rPr>
              <w:t>Desarrollo Backend/Frontend</w:t>
              <w:br/>
              <w:t>Firma: __________________</w:t>
              <w:br/>
              <w:t>Fecha: 13/09/2026</w:t>
            </w:r>
          </w:p>
        </w:tc>
        <w:tc>
          <w:tcPr>
            <w:tcW w:type="dxa" w:w="3110"/>
            <w:tcMar>
              <w:top w:w="80" w:type="dxa"/>
              <w:bottom w:w="80" w:type="dxa"/>
              <w:left w:w="80" w:type="dxa"/>
              <w:right w:w="80" w:type="dxa"/>
            </w:tcMar>
          </w:tcPr>
          <w:p>
            <w:pPr>
              <w:spacing w:after="0" w:line="288" w:lineRule="auto"/>
            </w:pPr>
            <w:r>
              <w:rPr>
                <w:color w:val="3C3C3C"/>
                <w:sz w:val="16"/>
              </w:rPr>
              <w:t>Aseguramiento de Calidad</w:t>
              <w:br/>
              <w:t>Firma: __________________</w:t>
              <w:br/>
              <w:t>Fecha: 13/09/2026</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1E1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