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480"/>
        <w:gridCol w:w="2880"/>
      </w:tblGrid>
      <w:tr>
        <w:tc>
          <w:tcPr>
            <w:tcW w:type="dxa" w:w="4680"/>
          </w:tcPr>
          <w:p>
            <w:pPr>
              <w:spacing w:after="40"/>
            </w:pPr>
            <w:r>
              <w:rPr>
                <w:b/>
                <w:sz w:val="17"/>
              </w:rPr>
              <w:t>DIRECCIÓN GENERAL DE MEDICAMENTOS, ALIMENTOS Y PRODUCTOS SANITARIOS</w:t>
              <w:br/>
            </w:r>
            <w:r>
              <w:rPr>
                <w:color w:val="5A5A5A"/>
                <w:sz w:val="16"/>
              </w:rPr>
              <w:t>DEPARTAMENTO DE ASEGURAMIENTO DE CALIDAD (QA)</w:t>
            </w:r>
          </w:p>
        </w:tc>
        <w:tc>
          <w:tcPr>
            <w:tcW w:type="dxa" w:w="4680"/>
          </w:tcPr>
          <w:p>
            <w:pPr>
              <w:spacing w:after="40"/>
              <w:jc w:val="right"/>
            </w:pPr>
            <w:r>
              <w:rPr>
                <w:b/>
                <w:sz w:val="16"/>
              </w:rPr>
              <w:t xml:space="preserve">CÓDIGO: </w:t>
            </w:r>
            <w:r>
              <w:rPr>
                <w:b/>
                <w:sz w:val="17"/>
              </w:rPr>
              <w:t>DEF-2026-004</w:t>
              <w:br/>
            </w:r>
            <w:r>
              <w:rPr>
                <w:color w:val="5A5A5A"/>
                <w:sz w:val="15"/>
              </w:rPr>
              <w:t>VERSIÓN: 1.0 | ESTADO: CERRADO</w:t>
            </w:r>
          </w:p>
        </w:tc>
      </w:tr>
    </w:tbl>
    <w:p>
      <w:pPr>
        <w:spacing w:after="160"/>
      </w:pPr>
    </w:p>
    <w:p>
      <w:pPr>
        <w:spacing w:after="80"/>
      </w:pPr>
      <w:r>
        <w:rPr>
          <w:b/>
          <w:color w:val="141414"/>
          <w:sz w:val="26"/>
        </w:rPr>
        <w:t>INFORME DE NO CONFORMIDAD / DEFECTO TÉCNICO</w:t>
      </w:r>
    </w:p>
    <w:p>
      <w:pPr>
        <w:spacing w:after="280"/>
      </w:pPr>
      <w:r>
        <w:rPr>
          <w:color w:val="5A5A5A"/>
          <w:sz w:val="19"/>
        </w:rPr>
        <w:t>Sistema: Evaluación Basada en Riesgo (EBR / BPM) | Módulo: Panel Coordinador — Asignación y Reasignación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insideH w:val="single" w:sz="4" w:space="0" w:color="D1D5DB"/>
          <w:insideV w:val="single" w:sz="4" w:space="0" w:color="D1D5DB"/>
          <w:left w:val="none"/>
          <w:right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Identificador:</w:t>
            </w:r>
          </w:p>
        </w:tc>
        <w:tc>
          <w:tcPr>
            <w:tcW w:type="dxa" w:w="288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DEF-2026-004</w:t>
            </w:r>
          </w:p>
        </w:tc>
        <w:tc>
          <w:tcPr>
            <w:tcW w:type="dxa" w:w="20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Fecha de Reporte:</w:t>
            </w:r>
          </w:p>
        </w:tc>
        <w:tc>
          <w:tcPr>
            <w:tcW w:type="dxa" w:w="230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13/09/2026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Módulo:</w:t>
            </w:r>
          </w:p>
        </w:tc>
        <w:tc>
          <w:tcPr>
            <w:tcW w:type="dxa" w:w="288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Coordinador de Calidad / Casos</w:t>
            </w:r>
          </w:p>
        </w:tc>
        <w:tc>
          <w:tcPr>
            <w:tcW w:type="dxa" w:w="20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Fecha de Cierre:</w:t>
            </w:r>
          </w:p>
        </w:tc>
        <w:tc>
          <w:tcPr>
            <w:tcW w:type="dxa" w:w="230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13/09/2026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Severidad:</w:t>
            </w:r>
          </w:p>
        </w:tc>
        <w:tc>
          <w:tcPr>
            <w:tcW w:type="dxa" w:w="288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Alta (Gestión Operativa de Casos)</w:t>
            </w:r>
          </w:p>
        </w:tc>
        <w:tc>
          <w:tcPr>
            <w:tcW w:type="dxa" w:w="20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Prioridad:</w:t>
            </w:r>
          </w:p>
        </w:tc>
        <w:tc>
          <w:tcPr>
            <w:tcW w:type="dxa" w:w="230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P1 (Urgente)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Tipo de Defecto:</w:t>
            </w:r>
          </w:p>
        </w:tc>
        <w:tc>
          <w:tcPr>
            <w:tcW w:type="dxa" w:w="288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Funcional / Reglas de Negocio</w:t>
            </w:r>
          </w:p>
        </w:tc>
        <w:tc>
          <w:tcPr>
            <w:tcW w:type="dxa" w:w="20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Ambiente:</w:t>
            </w:r>
          </w:p>
        </w:tc>
        <w:tc>
          <w:tcPr>
            <w:tcW w:type="dxa" w:w="230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Staging / QA Local (Win 11 / Chrome)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Reportado Por:</w:t>
            </w:r>
          </w:p>
        </w:tc>
        <w:tc>
          <w:tcPr>
            <w:tcW w:type="dxa" w:w="288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Equipo de Pruebas de Calidad</w:t>
            </w:r>
          </w:p>
        </w:tc>
        <w:tc>
          <w:tcPr>
            <w:tcW w:type="dxa" w:w="20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Dictamen Final:</w:t>
            </w:r>
          </w:p>
        </w:tc>
        <w:tc>
          <w:tcPr>
            <w:tcW w:type="dxa" w:w="230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RESUELTO / VERIFICADO</w:t>
            </w:r>
          </w:p>
        </w:tc>
      </w:tr>
    </w:tbl>
    <w:p>
      <w:pPr>
        <w:spacing w:after="200"/>
      </w:pPr>
    </w:p>
    <w:p>
      <w:pPr>
        <w:keepNext/>
        <w:spacing w:before="240" w:after="80"/>
      </w:pPr>
      <w:r>
        <w:rPr>
          <w:b/>
          <w:color w:val="141414"/>
          <w:sz w:val="22"/>
        </w:rPr>
        <w:t>1. DESCRIPCIÓN DEL DEFECTO</w:t>
      </w:r>
    </w:p>
    <w:p>
      <w:pPr>
        <w:spacing w:line="276" w:lineRule="auto" w:after="120"/>
      </w:pPr>
      <w:r>
        <w:rPr>
          <w:sz w:val="19"/>
        </w:rPr>
        <w:t>En el panel del coordinador, los casos ya asignados figuraban erróneamente con la leyenda 'Sin asignar' al abrir su detalle. Asimismo, no existía una funcionalidad para desvincular al técnico o reasignar el caso a otro evaluador ante ausencias o licencias médicas.</w:t>
      </w:r>
    </w:p>
    <w:p>
      <w:pPr>
        <w:keepNext/>
        <w:spacing w:before="240" w:after="80"/>
      </w:pPr>
      <w:r>
        <w:rPr>
          <w:b/>
          <w:color w:val="141414"/>
          <w:sz w:val="22"/>
        </w:rPr>
        <w:t>2. PASOS PARA LA REPRODUCCIÓN DEL HALLAZGO</w:t>
      </w:r>
    </w:p>
    <w:p>
      <w:pPr>
        <w:spacing w:after="40"/>
        <w:ind w:left="360"/>
      </w:pPr>
      <w:r>
        <w:rPr>
          <w:b/>
          <w:sz w:val="18"/>
        </w:rPr>
        <w:t xml:space="preserve">2.1 </w:t>
      </w:r>
      <w:r>
        <w:rPr>
          <w:sz w:val="18"/>
        </w:rPr>
        <w:t>Iniciar sesión como Coordinador en /coordinador.</w:t>
      </w:r>
    </w:p>
    <w:p>
      <w:pPr>
        <w:spacing w:after="40"/>
        <w:ind w:left="360"/>
      </w:pPr>
      <w:r>
        <w:rPr>
          <w:b/>
          <w:sz w:val="18"/>
        </w:rPr>
        <w:t xml:space="preserve">2.2 </w:t>
      </w:r>
      <w:r>
        <w:rPr>
          <w:sz w:val="18"/>
        </w:rPr>
        <w:t>Asignar un caso a un técnico disponible.</w:t>
      </w:r>
    </w:p>
    <w:p>
      <w:pPr>
        <w:spacing w:after="40"/>
        <w:ind w:left="360"/>
      </w:pPr>
      <w:r>
        <w:rPr>
          <w:b/>
          <w:sz w:val="18"/>
        </w:rPr>
        <w:t xml:space="preserve">2.3 </w:t>
      </w:r>
      <w:r>
        <w:rPr>
          <w:sz w:val="18"/>
        </w:rPr>
        <w:t>Abrir el detalle del caso asignado.</w:t>
      </w:r>
    </w:p>
    <w:p>
      <w:pPr>
        <w:spacing w:after="40"/>
        <w:ind w:left="360"/>
      </w:pPr>
      <w:r>
        <w:rPr>
          <w:b/>
          <w:sz w:val="18"/>
        </w:rPr>
        <w:t xml:space="preserve">2.4 </w:t>
      </w:r>
      <w:r>
        <w:rPr>
          <w:sz w:val="18"/>
        </w:rPr>
        <w:t>Observar que el detalle no reflejaba el técnico asignado y no existía botón para desvincular o cambiar técnico.</w:t>
      </w:r>
    </w:p>
    <w:p>
      <w:pPr>
        <w:keepNext/>
        <w:spacing w:before="240" w:after="80"/>
      </w:pPr>
      <w:r>
        <w:rPr>
          <w:b/>
          <w:color w:val="141414"/>
          <w:sz w:val="22"/>
        </w:rPr>
        <w:t>3. COMPORTAMIENTO OBSERVADO Y COMPORTAMIENTO ESPERADO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insideH w:val="single" w:sz="4" w:space="0" w:color="D1D5DB"/>
          <w:insideV w:val="single" w:sz="4" w:space="0" w:color="D1D5DB"/>
          <w:left w:val="none"/>
          <w:right w:val="none"/>
        </w:tblBorders>
      </w:tblPr>
      <w:tblGrid>
        <w:gridCol w:w="4680"/>
        <w:gridCol w:w="4680"/>
      </w:tblGrid>
      <w:tr>
        <w:tc>
          <w:tcPr>
            <w:tcW w:type="dxa" w:w="4680"/>
            <w:shd w:fill="F3F4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Comportamiento Observado (Fallo)</w:t>
            </w:r>
          </w:p>
        </w:tc>
        <w:tc>
          <w:tcPr>
            <w:tcW w:type="dxa" w:w="4680"/>
            <w:shd w:fill="F3F4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Comportamiento Requerido (Correcto)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 w:line="276" w:lineRule="auto"/>
            </w:pPr>
            <w:r>
              <w:rPr>
                <w:sz w:val="17"/>
              </w:rPr>
              <w:t>- El detalle del caso no incluía la relación del evaluador activo.</w:t>
              <w:br/>
              <w:t>- Imposibilidad de liberar o cambiar el técnico asignado.</w:t>
            </w:r>
          </w:p>
        </w:tc>
        <w:tc>
          <w:tcPr>
            <w:tcW w:type="dxa" w:w="468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 w:line="276" w:lineRule="auto"/>
            </w:pPr>
            <w:r>
              <w:rPr>
                <w:sz w:val="17"/>
              </w:rPr>
              <w:t>- Presentación clara del técnico asignado y botón 'Desvincular técnico' con diálogo de confirmación para retornar el caso a Pendiente.</w:t>
            </w:r>
          </w:p>
        </w:tc>
      </w:tr>
    </w:tbl>
    <w:p>
      <w:pPr>
        <w:keepNext/>
        <w:spacing w:before="240" w:after="80"/>
      </w:pPr>
      <w:r>
        <w:rPr>
          <w:b/>
          <w:color w:val="141414"/>
          <w:sz w:val="22"/>
        </w:rPr>
        <w:t>4. ANÁLISIS TÉCNICO DE CAUSA RAÍZ (RCA)</w:t>
      </w:r>
    </w:p>
    <w:p>
      <w:pPr>
        <w:spacing w:line="276" w:lineRule="auto" w:after="120"/>
      </w:pPr>
      <w:r>
        <w:rPr>
          <w:sz w:val="19"/>
        </w:rPr>
        <w:t>El método casos.service.ts no incluía la relación asignaciones: { include: { evaluador: true } } en la consulta Prisma, y faltaba el endpoint DELETE en asignaciones.</w:t>
      </w:r>
    </w:p>
    <w:p>
      <w:pPr>
        <w:keepNext/>
        <w:spacing w:before="240" w:after="80"/>
      </w:pPr>
      <w:r>
        <w:rPr>
          <w:b/>
          <w:color w:val="141414"/>
          <w:sz w:val="22"/>
        </w:rPr>
        <w:t>5. ACCIÓN CORRECTIVA Y CAMBIOS EN EL CÓDIGO</w:t>
      </w:r>
    </w:p>
    <w:p>
      <w:pPr>
        <w:spacing w:after="60"/>
        <w:ind w:left="360"/>
      </w:pPr>
      <w:r>
        <w:rPr>
          <w:b/>
          <w:sz w:val="18"/>
        </w:rPr>
        <w:t xml:space="preserve">Backend (asignaciones.service.ts): </w:t>
      </w:r>
      <w:r>
        <w:rPr>
          <w:sz w:val="18"/>
        </w:rPr>
        <w:t>Implementación de DELETE /api/v1/asignaciones/:casoId para cancelar la asignación y devolver el caso a Pendiente.</w:t>
      </w:r>
    </w:p>
    <w:p>
      <w:pPr>
        <w:spacing w:after="60"/>
        <w:ind w:left="360"/>
      </w:pPr>
      <w:r>
        <w:rPr>
          <w:b/>
          <w:sz w:val="18"/>
        </w:rPr>
        <w:t xml:space="preserve">Frontend (DashboardCoordinador.tsx): </w:t>
      </w:r>
      <w:r>
        <w:rPr>
          <w:sz w:val="18"/>
        </w:rPr>
        <w:t>Incorporación de la acción 'Desvincular técnico' con modal de confirmación.</w:t>
      </w:r>
    </w:p>
    <w:p>
      <w:pPr>
        <w:keepNext/>
        <w:spacing w:before="240" w:after="80"/>
      </w:pPr>
      <w:r>
        <w:rPr>
          <w:b/>
          <w:color w:val="141414"/>
          <w:sz w:val="22"/>
        </w:rPr>
        <w:t>6. VERIFICACIÓN Y RESULTADOS DE PRUEBA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insideH w:val="single" w:sz="4" w:space="0" w:color="D1D5DB"/>
          <w:insideV w:val="single" w:sz="4" w:space="0" w:color="D1D5DB"/>
          <w:left w:val="none"/>
          <w:right w:val="none"/>
        </w:tblBorders>
      </w:tblPr>
      <w:tblGrid>
        <w:gridCol w:w="4320"/>
        <w:gridCol w:w="3168"/>
        <w:gridCol w:w="1872"/>
      </w:tblGrid>
      <w:tr>
        <w:tc>
          <w:tcPr>
            <w:tcW w:type="dxa" w:w="3120"/>
            <w:shd w:fill="F3F4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Prueba Ejecutada</w:t>
            </w:r>
          </w:p>
        </w:tc>
        <w:tc>
          <w:tcPr>
            <w:tcW w:type="dxa" w:w="3120"/>
            <w:shd w:fill="F3F4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Comando de Verificación</w:t>
            </w:r>
          </w:p>
        </w:tc>
        <w:tc>
          <w:tcPr>
            <w:tcW w:type="dxa" w:w="3120"/>
            <w:shd w:fill="F3F4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Resultado</w:t>
            </w:r>
          </w:p>
        </w:tc>
      </w:tr>
      <w:tr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Pruebas unitarias de casos y asignaciones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color w:val="5A5A5A"/>
                <w:sz w:val="16"/>
              </w:rPr>
              <w:t>npm.cmd test -w apps/api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Aprobado (56/56)</w:t>
            </w:r>
          </w:p>
        </w:tc>
      </w:tr>
      <w:tr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Pruebas de interfaz en DashboardCoordinador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color w:val="5A5A5A"/>
                <w:sz w:val="16"/>
              </w:rPr>
              <w:t>npm.cmd test -- --run -w apps/web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Aprobado (160/160)</w:t>
            </w:r>
          </w:p>
        </w:tc>
      </w:tr>
    </w:tbl>
    <w:p>
      <w:pPr>
        <w:keepNext/>
        <w:spacing w:before="240" w:after="80"/>
      </w:pPr>
      <w:r>
        <w:rPr>
          <w:b/>
          <w:color w:val="141414"/>
          <w:sz w:val="22"/>
        </w:rPr>
        <w:t>7. APROBACIÓN Y CONFORMIDAD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insideH w:val="single" w:sz="4" w:space="0" w:color="D1D5DB"/>
          <w:insideV w:val="single" w:sz="4" w:space="0" w:color="D1D5DB"/>
          <w:left w:val="none"/>
          <w:right w:val="none"/>
        </w:tblBorders>
      </w:tblPr>
      <w:tblGrid>
        <w:gridCol w:w="3120"/>
        <w:gridCol w:w="3120"/>
        <w:gridCol w:w="3120"/>
      </w:tblGrid>
      <w:tr>
        <w:tc>
          <w:tcPr>
            <w:tcW w:type="dxa" w:w="3110"/>
            <w:tcMar>
              <w:top w:w="80" w:type="dxa"/>
              <w:bottom w:w="8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6"/>
              </w:rPr>
              <w:t>Reportado por</w:t>
            </w:r>
          </w:p>
        </w:tc>
        <w:tc>
          <w:tcPr>
            <w:tcW w:type="dxa" w:w="3110"/>
            <w:tcMar>
              <w:top w:w="80" w:type="dxa"/>
              <w:bottom w:w="8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6"/>
              </w:rPr>
              <w:t>Corregido por</w:t>
            </w:r>
          </w:p>
        </w:tc>
        <w:tc>
          <w:tcPr>
            <w:tcW w:type="dxa" w:w="3110"/>
            <w:tcMar>
              <w:top w:w="80" w:type="dxa"/>
              <w:bottom w:w="8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6"/>
              </w:rPr>
              <w:t>Aprobado por (QA Lead)</w:t>
            </w:r>
          </w:p>
        </w:tc>
      </w:tr>
      <w:tr>
        <w:tc>
          <w:tcPr>
            <w:tcW w:type="dxa" w:w="311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 w:line="288" w:lineRule="auto"/>
            </w:pPr>
            <w:r>
              <w:rPr>
                <w:color w:val="3C3C3C"/>
                <w:sz w:val="16"/>
              </w:rPr>
              <w:t>Equipo de Pruebas</w:t>
              <w:br/>
              <w:t>Firma: __________________</w:t>
              <w:br/>
              <w:t>Fecha: 13/09/2026</w:t>
            </w:r>
          </w:p>
        </w:tc>
        <w:tc>
          <w:tcPr>
            <w:tcW w:type="dxa" w:w="311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 w:line="288" w:lineRule="auto"/>
            </w:pPr>
            <w:r>
              <w:rPr>
                <w:color w:val="3C3C3C"/>
                <w:sz w:val="16"/>
              </w:rPr>
              <w:t>Desarrollo Backend/Frontend</w:t>
              <w:br/>
              <w:t>Firma: __________________</w:t>
              <w:br/>
              <w:t>Fecha: 13/09/2026</w:t>
            </w:r>
          </w:p>
        </w:tc>
        <w:tc>
          <w:tcPr>
            <w:tcW w:type="dxa" w:w="311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 w:line="288" w:lineRule="auto"/>
            </w:pPr>
            <w:r>
              <w:rPr>
                <w:color w:val="3C3C3C"/>
                <w:sz w:val="16"/>
              </w:rPr>
              <w:t>Aseguramiento de Calidad</w:t>
              <w:br/>
              <w:t>Firma: __________________</w:t>
              <w:br/>
              <w:t>Fecha: 13/09/2026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E1E1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