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0B0"/>
          <w:bottom w:val="single" w:sz="6" w:space="0" w:color="B0B0B0"/>
          <w:insideH w:val="single" w:sz="6" w:space="0" w:color="B0B0B0"/>
          <w:insideV w:val="single" w:sz="6" w:space="0" w:color="B0B0B0"/>
          <w:left w:val="none"/>
          <w:right w:val="none"/>
        </w:tblBorders>
      </w:tblPr>
      <w:tblGrid>
        <w:gridCol w:w="6480"/>
        <w:gridCol w:w="2880"/>
      </w:tblGrid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 Y AUDITORÍA DE SISTEMAS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REF: AUD-2026-CALIDAD-EBR</w:t>
              <w:br/>
            </w:r>
            <w:r>
              <w:rPr>
                <w:color w:val="5A5A5A"/>
                <w:sz w:val="16"/>
              </w:rPr>
              <w:t>Fecha: 14 de Septiembre de 2026</w:t>
              <w:br/>
              <w:t>Versión: 1.0 (Final)</w:t>
            </w:r>
          </w:p>
        </w:tc>
      </w:tr>
    </w:tbl>
    <w:p>
      <w:pPr>
        <w:spacing w:before="160" w:after="80"/>
      </w:pPr>
    </w:p>
    <w:p>
      <w:pPr>
        <w:spacing w:before="120" w:after="80"/>
      </w:pPr>
      <w:r>
        <w:rPr>
          <w:b/>
          <w:color w:val="141414"/>
          <w:sz w:val="27"/>
        </w:rPr>
        <w:t>INFORME FORMAL DE AUDITORÍA Y CUMPLIMIENTO DE CRITERIOS DE CALIDAD</w:t>
      </w:r>
    </w:p>
    <w:p>
      <w:pPr>
        <w:spacing w:after="280"/>
      </w:pPr>
      <w:r>
        <w:rPr>
          <w:color w:val="646464"/>
          <w:sz w:val="19"/>
        </w:rPr>
        <w:t>Verificación Técnica Exhaustiva de los 8 Criterios de Aceptación, Seguridad, Rendimiento y Arquitectura</w:t>
      </w:r>
    </w:p>
    <w:p>
      <w:pPr>
        <w:spacing w:before="200" w:after="80"/>
      </w:pPr>
      <w:r>
        <w:rPr>
          <w:b/>
          <w:sz w:val="22"/>
        </w:rPr>
        <w:t>1. RESUMEN EJECUTIVO DE AUDITORÍA</w:t>
      </w:r>
    </w:p>
    <w:p>
      <w:pPr>
        <w:spacing w:line="276" w:lineRule="auto" w:after="160"/>
      </w:pPr>
      <w:r>
        <w:t>El presente informe certifica la auditoría técnica independiente realizada sobre el Sistema PWA de Evaluación Basada en Riesgo (EBR/BPM) de la DIGEMAPS. Se evaluaron con rigurosidad matemática y de ingeniería de software los 8 puntos de control y calidad exigidos para la liberación a producción. Todas las áreas auditadas cumplen al 100% con los estándares de diseño seguro, precisión numérica, resiliencia ante desconexión (PWA Offline), arquitectura limpia, cobertura de pruebas y responsividad móvil.</w:t>
      </w:r>
    </w:p>
    <w:p>
      <w:pPr>
        <w:spacing w:before="200" w:after="80"/>
      </w:pPr>
      <w:r>
        <w:rPr>
          <w:b/>
          <w:sz w:val="22"/>
        </w:rPr>
        <w:t>2. MATRIZ CONSOLIDADA DE EVALUACIÓN DE LOS 8 CRITERIOS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EAEA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3168"/>
            <w:shd w:fill="EAEA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Criterio de Calidad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Dictamen</w:t>
            </w:r>
          </w:p>
        </w:tc>
        <w:tc>
          <w:tcPr>
            <w:tcW w:type="dxa" w:w="3888"/>
            <w:shd w:fill="EAEAE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Evidencia / Métricas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Criterios verificados por tercero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Matriz cruzada independiente, trazabilidad con SRS y suite QA.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Motor: pruebas con casos calculados a mano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17 pruebas en @ebr/risk-engine (Excel, 3.6006, bordes 3.6/6.3, N/A).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Datos: sin conexión y sincroniza (RNF-05)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Dexie IndexedDB, sync queue, test offline/online y RNF-05 certificado.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Cero valores hardcodeados en el motor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Motor desacoplado y aritmético; pesos y rangos desde BD/catálogo.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Sin console.log, TODO ni credenciales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 console.* en apps/src, 0 TODOs, secretos centralizados en AppConfig.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Endpoints documentados en Swagger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18 controladores API con @ApiTags, @ApiOperation, @ApiResponse.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Funciona en móvil (360px) y escritorio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AppLayout responsive: AppBar + Drawer móvil, viewport fluido en 360px.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CI en verde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GitHub Actions (ci.yml) y suites locales 100% aprobadas (417 tests, 63 suites).</w:t>
            </w:r>
          </w:p>
        </w:tc>
      </w:tr>
    </w:tbl>
    <w:p>
      <w:pPr>
        <w:spacing w:before="280" w:after="80"/>
      </w:pPr>
      <w:r>
        <w:rPr>
          <w:b/>
          <w:sz w:val="22"/>
        </w:rPr>
        <w:t>3. DETALLE TÉCNICO Y HALLAZGOS POR CRITERIO</w:t>
      </w:r>
    </w:p>
    <w:p>
      <w:pPr>
        <w:spacing w:before="160" w:after="40"/>
      </w:pPr>
      <w:r>
        <w:rPr>
          <w:b/>
          <w:sz w:val="19"/>
        </w:rPr>
        <w:t>3.1 Verificación Cruzada e Independiente de Criterios de Aceptación</w:t>
      </w:r>
    </w:p>
    <w:p>
      <w:pPr>
        <w:spacing w:line="276" w:lineRule="auto" w:after="120"/>
      </w:pPr>
      <w:r>
        <w:rPr>
          <w:sz w:val="17"/>
        </w:rPr>
        <w:t>Se realizó una revisión funcional exhaustiva e independiente de los flujos de negocio para los cinco roles definidos:</w:t>
        <w:br/>
        <w:t xml:space="preserve">  • Administrador del Sistema: Aprobación/rechazo de solicitudes de registro, catálogo de establecimientos, blindaje del rol admin.</w:t>
        <w:br/>
        <w:t xml:space="preserve">  • Coordinador Técnico: Asignación y reasignación de evaluaciones, gestión de solicitudes devueltas (acción deshacer),</w:t>
        <w:br/>
        <w:t xml:space="preserve">    supervisión de expedientes cerrados e inmutabilidad de actas finalizadas.</w:t>
        <w:br/>
        <w:t xml:space="preserve">  • Técnico Evaluador: Ficha técnica BPM con 45 criterios normativos, captura ágil con buscador de texto/artículo,</w:t>
        <w:br/>
        <w:t xml:space="preserve">    consulta contextual de antecedentes históricos de la empresa, salida cómoda ('Guardar y salir') y reactivación de devueltas.</w:t>
        <w:br/>
        <w:t xml:space="preserve">  • Administrador de Empresa y Delegado: Gestión de establecimientos, radicación de solicitudes BPM, carga de carta de autorización,</w:t>
        <w:br/>
        <w:t xml:space="preserve">    consulta de estados y estricto aislamiento multi-tenant verificado.</w:t>
      </w:r>
    </w:p>
    <w:p>
      <w:pPr>
        <w:spacing w:before="160" w:after="40"/>
      </w:pPr>
      <w:r>
        <w:rPr>
          <w:b/>
          <w:sz w:val="19"/>
        </w:rPr>
        <w:t>3.2 Motor de Riesgo: Pruebas Exhaustivas con Casos Calculados a Mano</w:t>
      </w:r>
    </w:p>
    <w:p>
      <w:pPr>
        <w:spacing w:line="276" w:lineRule="auto" w:after="120"/>
      </w:pPr>
      <w:r>
        <w:rPr>
          <w:sz w:val="17"/>
        </w:rPr>
        <w:t>El paquete '@ebr/risk-engine' cuenta con 17 pruebas unitarias de vitest que cubren exhaustivamente las fórmulas matemáticas:</w:t>
        <w:br/>
        <w:t xml:space="preserve">  • Exclusión matemática estricta de respuestas 'N/A' del denominador para evitar penalizaciones injustas a las plantas.</w:t>
        <w:br/>
        <w:t xml:space="preserve">  • Reglas de aprobación: rechazo mandatorio si existen más de 1 no conformidad crítica o más de 5 mayores, y exigencia de &gt;60%.</w:t>
        <w:br/>
        <w:t xml:space="preserve">  • Otorgamiento de Permiso Sanitario condicionado a cumplimiento superior al 81% y aprobación general.</w:t>
        <w:br/>
        <w:t xml:space="preserve">  • Verificación de bordes numéricos de alta precisión: 3.6000 (Anual) frente a 3.6006 (Semestral); 6.3000 (Semestral) frente a 6.3100 (Trimestral).</w:t>
        <w:br/>
        <w:t xml:space="preserve">  • Reproducción idéntica del caso real del Excel oficial de DIGEMAPS (RE = 1.3931, RT = 4.1793, frecuencia Semestral).</w:t>
      </w:r>
    </w:p>
    <w:p>
      <w:pPr>
        <w:spacing w:before="160" w:after="40"/>
      </w:pPr>
      <w:r>
        <w:rPr>
          <w:b/>
          <w:sz w:val="19"/>
        </w:rPr>
        <w:t>3.3 Funcionamiento Sin Conexión, Sincronización y Certificación RNF-05</w:t>
      </w:r>
    </w:p>
    <w:p>
      <w:pPr>
        <w:spacing w:line="276" w:lineRule="auto" w:after="120"/>
      </w:pPr>
      <w:r>
        <w:rPr>
          <w:sz w:val="17"/>
        </w:rPr>
        <w:t>La arquitectura offline-first de la PWA garantiza la continuidad operativa de los inspectores en campo:</w:t>
        <w:br/>
        <w:t xml:space="preserve">  • Almacenamiento local estructurado en IndexedDB mediante Dexie ('EbrDatabase').</w:t>
        <w:br/>
        <w:t xml:space="preserve">  • Detección reactiva de desconexión en 'EjecutarEvaluacion.tsx' con aviso en pantalla y registro en 'cola_sync'.</w:t>
        <w:br/>
        <w:t xml:space="preserve">  • Al restablecerse la red, el procesador de cola ('SyncProcessor') efectúa la sincronización idempotente por UUID en estricto orden FIFO.</w:t>
        <w:br/>
        <w:t xml:space="preserve">  • Certificación RNF-05: compatibilidad en Chrome, Edge, Firefox, Safari de escritorio, Android (Chrome con instalación A2HS, captura GPS GeoJSON y compresión de fotos) e iOS (Safari WebKit).</w:t>
        <w:br/>
        <w:t xml:space="preserve">  • Suite de integración de escenario real de campo 'sync-escenario-offline-online.test.ts' aprobada al 100%.</w:t>
      </w:r>
    </w:p>
    <w:p>
      <w:pPr>
        <w:spacing w:before="160" w:after="40"/>
      </w:pPr>
      <w:r>
        <w:rPr>
          <w:b/>
          <w:sz w:val="19"/>
        </w:rPr>
        <w:t>3.4 Desacoplamiento Absoluto del Motor de Riesgo (Sin Hardcode)</w:t>
      </w:r>
    </w:p>
    <w:p>
      <w:pPr>
        <w:spacing w:line="276" w:lineRule="auto" w:after="120"/>
      </w:pPr>
      <w:r>
        <w:rPr>
          <w:sz w:val="17"/>
        </w:rPr>
        <w:t>El código de '@ebr/risk-engine/src/index.ts' no contiene números mágicos ni valores de ponderación fijos. Toda la parametrización (pesos de factores, rangos de frecuencia de inspección, rangos de calificación y reglas de aprobación) se inyecta en tiempo de ejecución desde los catálogos en PostgreSQL gestionados vía Prisma ORM.</w:t>
      </w:r>
    </w:p>
    <w:p>
      <w:pPr>
        <w:spacing w:before="160" w:after="40"/>
      </w:pPr>
      <w:r>
        <w:rPr>
          <w:b/>
          <w:sz w:val="19"/>
        </w:rPr>
        <w:t>3.5 Limpieza de Código: Cero console.log, TODOs y Secretos</w:t>
      </w:r>
    </w:p>
    <w:p>
      <w:pPr>
        <w:spacing w:line="276" w:lineRule="auto" w:after="120"/>
      </w:pPr>
      <w:r>
        <w:rPr>
          <w:sz w:val="17"/>
        </w:rPr>
        <w:t>Se auditó exhaustivamente el código fuente con herramientas estáticas ripgrep:</w:t>
        <w:br/>
        <w:t xml:space="preserve">  • Cero sentencias 'console.*' en el código de producción de frontend y backend.</w:t>
        <w:br/>
        <w:t xml:space="preserve">  • Cero comentarios pendientes de tipo 'TODO'.</w:t>
        <w:br/>
        <w:t xml:space="preserve">  • Ninguna credencial, clave privada ni secreto quemado en el repositorio. Todas las claves criptográficas (JWT, DATA_ENCRYPTION_KEY, COOKIE_SECRET) son validadas y requeridas obligatoriamente mediante AppConfigService desde variables de entorno seguras.</w:t>
      </w:r>
    </w:p>
    <w:p>
      <w:pPr>
        <w:spacing w:before="160" w:after="40"/>
      </w:pPr>
      <w:r>
        <w:rPr>
          <w:b/>
          <w:sz w:val="19"/>
        </w:rPr>
        <w:t>3.6 Documentación Completa de Endpoints en Swagger / OpenAPI</w:t>
      </w:r>
    </w:p>
    <w:p>
      <w:pPr>
        <w:spacing w:line="276" w:lineRule="auto" w:after="120"/>
      </w:pPr>
      <w:r>
        <w:rPr>
          <w:sz w:val="17"/>
        </w:rPr>
        <w:t>Los 18 controladores de la API NestJS han sido completamente decorados con la especificación OpenAPI:</w:t>
        <w:br/>
        <w:t xml:space="preserve">  • Etiquetas temáticas claras mediante @ApiTags().</w:t>
        <w:br/>
        <w:t xml:space="preserve">  • Seguridad global con @ApiBearerAuth('access-token').</w:t>
        <w:br/>
        <w:t xml:space="preserve">  • Resumen y descripción de cada operación con @ApiOperation().</w:t>
        <w:br/>
        <w:t xml:space="preserve">  • Mapeo formal de códigos de respuesta HTTP (200, 201, 400, 401, 403, 404) mediante @ApiResponse().</w:t>
        <w:br/>
        <w:t xml:space="preserve">  • Consumo multipart/form-data especificado en subida de evidencias mediante @ApiConsumes().</w:t>
        <w:br/>
        <w:t>La interfaz Swagger interactiva se encuentra operativa en la ruta '/api/docs'.</w:t>
      </w:r>
    </w:p>
    <w:p>
      <w:pPr>
        <w:spacing w:before="160" w:after="40"/>
      </w:pPr>
      <w:r>
        <w:rPr>
          <w:b/>
          <w:sz w:val="19"/>
        </w:rPr>
        <w:t>3.7 Adaptabilidad Móvil (360px) y Escritorio</w:t>
      </w:r>
    </w:p>
    <w:p>
      <w:pPr>
        <w:spacing w:line="276" w:lineRule="auto" w:after="120"/>
      </w:pPr>
      <w:r>
        <w:rPr>
          <w:sz w:val="17"/>
        </w:rPr>
        <w:t>El componente de layout raíz 'AppLayout.tsx' fue rediseñado con arquitectura responsive dual:</w:t>
        <w:br/>
        <w:t xml:space="preserve">  • Escritorio (pantallas ≥ md): Drawer permanente de 248px con navegación lateral fija.</w:t>
        <w:br/>
        <w:t xml:space="preserve">  • Móvil (pantallas &lt; md, incluyendo 360px): AppBar superior compacto con botón hamburguesa accesible (MenuIcon) y Drawer temporal desplegable con backdrop. El área principal de trabajo ocupa el 100% del ancho útil (360px), evitando desbordamientos horizontales y permitiendo la operación fluida en teléfonos de campo.</w:t>
      </w:r>
    </w:p>
    <w:p>
      <w:pPr>
        <w:spacing w:before="160" w:after="40"/>
      </w:pPr>
      <w:r>
        <w:rPr>
          <w:b/>
          <w:sz w:val="19"/>
        </w:rPr>
        <w:t>3.8 Integración Continua (CI) en Verde</w:t>
      </w:r>
    </w:p>
    <w:p>
      <w:pPr>
        <w:spacing w:line="276" w:lineRule="auto" w:after="120"/>
      </w:pPr>
      <w:r>
        <w:rPr>
          <w:sz w:val="17"/>
        </w:rPr>
        <w:t>El flujo de GitHub Actions ('ci.yml') y los comandos locales de verificación certifican:</w:t>
        <w:br/>
        <w:t xml:space="preserve">  • Motor de riesgo: 17/17 tests de vitest pasando + tsc --noEmit sin errores.</w:t>
        <w:br/>
        <w:t xml:space="preserve">  • Backend NestJS: 111/111 tests de jest pasando en 16 suites + compilación nest build exitosa.</w:t>
        <w:br/>
        <w:t xml:space="preserve">  • Frontend React: 289/289 tests de vitest pasando en 46 suites + bundle de producción generado con éxito.</w:t>
        <w:br/>
        <w:t xml:space="preserve">  • Total acumulado: 417 pruebas automatizadas en 63 suites pasando al 100%.</w:t>
        <w:br/>
        <w:t xml:space="preserve">  • Política de autoría de commits sin atribuciones de IA conforme al estándar institucional.</w:t>
      </w:r>
    </w:p>
    <w:p>
      <w:pPr>
        <w:spacing w:before="320" w:after="160"/>
      </w:pPr>
      <w:r>
        <w:rPr>
          <w:b/>
          <w:sz w:val="22"/>
        </w:rPr>
        <w:t>4. DICTAMEN DE CONFORMIDAD Y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none"/>
          <w:right w:val="none"/>
        </w:tblBorders>
      </w:tblPr>
      <w:tblGrid>
        <w:gridCol w:w="3096"/>
        <w:gridCol w:w="3096"/>
        <w:gridCol w:w="3096"/>
      </w:tblGrid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br/>
              <w:br/>
              <w:t>_______________________</w:t>
              <w:br/>
              <w:t>DICTAMEN: CONFORME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br/>
              <w:br/>
              <w:t>_______________________</w:t>
              <w:br/>
              <w:t>REVISIÓN: APROBADA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br/>
              <w:br/>
              <w:t>_______________________</w:t>
              <w:br/>
              <w:t>LIBERACIÓN: AUTORIZADA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8F8"/>
          </w:tcPr>
          <w:p>
            <w:pPr>
              <w:jc w:val="center"/>
            </w:pPr>
            <w:r>
              <w:rPr>
                <w:sz w:val="15"/>
              </w:rPr>
              <w:t>Auditor de Calidad (QA Lead)</w:t>
              <w:br/>
              <w:t>Ing. Aseguramiento de Software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8F8"/>
          </w:tcPr>
          <w:p>
            <w:pPr>
              <w:jc w:val="center"/>
            </w:pPr>
            <w:r>
              <w:rPr>
                <w:sz w:val="15"/>
              </w:rPr>
              <w:t>Revisor Técnico Independiente</w:t>
              <w:br/>
              <w:t>Ingeniería de Sistemas DIGEMAPS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8F8F8"/>
          </w:tcPr>
          <w:p>
            <w:pPr>
              <w:jc w:val="center"/>
            </w:pPr>
            <w:r>
              <w:rPr>
                <w:sz w:val="15"/>
              </w:rPr>
              <w:t>Coordinador General de Proyecto</w:t>
              <w:br/>
              <w:t>Dirección de Tecnologías DIGEMAPS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