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 (DIGEMAPS)</w:t>
              <w:br/>
            </w:r>
            <w:r>
              <w:rPr>
                <w:color w:val="5A5A5A"/>
                <w:sz w:val="16"/>
              </w:rPr>
              <w:t>DEPARTAMENTO DE ASEGURAMIENTO DE CALIDAD (QA) Y AUDITORÍA DE SISTEMAS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CERT-2026-RNF-05</w:t>
              <w:br/>
            </w:r>
            <w:r>
              <w:rPr>
                <w:color w:val="5A5A5A"/>
                <w:sz w:val="15"/>
              </w:rPr>
              <w:t>ESTADO: CERTIFICADO 100%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CERTIFICACIÓN TÉCNICA DE CALIDAD — RNF-05</w:t>
      </w:r>
    </w:p>
    <w:p>
      <w:pPr>
        <w:spacing w:after="240"/>
      </w:pPr>
      <w:r>
        <w:rPr>
          <w:color w:val="5A5A5A"/>
          <w:sz w:val="19"/>
        </w:rPr>
        <w:t>Compatibilidad Multi-Navegador, Despliegue PWA Móvil y Sincronización en Campo</w:t>
      </w:r>
    </w:p>
    <w:p>
      <w:pPr>
        <w:spacing w:after="80"/>
      </w:pPr>
      <w:r>
        <w:rPr>
          <w:b/>
          <w:sz w:val="22"/>
        </w:rPr>
        <w:t>1. RESUMEN EJECUTIVO Y ALCANCE DE LA EVALUACIÓN</w:t>
      </w:r>
    </w:p>
    <w:p>
      <w:pPr>
        <w:spacing w:line="276" w:lineRule="auto" w:after="200"/>
      </w:pPr>
      <w:r>
        <w:t>En cumplimiento de los requerimientos no funcionales del SRS (§RNF-05) y la asignación formal del Plan de Pruebas (10-PLAN-PRUEBAS.md §3.4), el Departamento de QA certifica la total conformidad del Sistema PWA de Evaluación Basada en Riesgo (EBR/BPM). La evaluación constató el correcto registro del Service Worker en navegadores de escritorio (Chrome, Edge, Firefox, Safari), la instalación nativa como PWA en dispositivos móviles Android (Chrome) e iOS (Safari), la captura de coordenadas satelitales GPS reales con exportación GeoJSON por criterio, la compresión de evidencias fotográficas en el cliente y la sincronización diferida FIFO con idempotencia garantizada mediante cola transaccional en IndexedDB (Dexie).</w:t>
      </w:r>
    </w:p>
    <w:p>
      <w:pPr>
        <w:spacing w:before="160" w:after="80"/>
      </w:pPr>
      <w:r>
        <w:rPr>
          <w:b/>
          <w:sz w:val="22"/>
        </w:rPr>
        <w:t>2. MATRIZ DE COMPATIBILIDAD MULTIPLATAFORMA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EAEA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Plataforma / Entorno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Navegador</w:t>
            </w:r>
          </w:p>
        </w:tc>
        <w:tc>
          <w:tcPr>
            <w:tcW w:type="dxa" w:w="1728"/>
            <w:shd w:fill="EAEA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Soporte PWA / SW</w:t>
            </w:r>
          </w:p>
        </w:tc>
        <w:tc>
          <w:tcPr>
            <w:tcW w:type="dxa" w:w="1728"/>
            <w:shd w:fill="EAEA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Offline / Storage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Dictamen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Escritorio (Windows 11)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Google Chrome 128+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Standalone / A2HS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Cache + IndexedDB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Escritorio (Windows 11)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Microsoft Edge 128+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Standalone / App Bar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Cache + IndexedDB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Escritorio (Linux / Win)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Mozilla Firefox 130+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Service Worker Gecko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Cache + IndexedDB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Escritorio (macOS 14+)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Apple Safari 17+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Web App (Dock)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Cache + IndexedDB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Móvil (Android 13/14)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Google Chrome Móvil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WebAPK / A2HS Nativo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IndexedDB + GPS/Cám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Móvil (iOS 17/18)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5"/>
              </w:rPr>
              <w:t>Apple Safari Móvil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Add to Home Screen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5"/>
              </w:rPr>
              <w:t>WebKit Storage + SW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CONFORME</w:t>
            </w:r>
          </w:p>
        </w:tc>
      </w:tr>
    </w:tbl>
    <w:p>
      <w:pPr>
        <w:spacing w:before="280" w:after="80"/>
      </w:pPr>
      <w:r>
        <w:rPr>
          <w:b/>
          <w:sz w:val="22"/>
        </w:rPr>
        <w:t>3. DETALLE DE CERTIFICACIÓN DE CAPACIDADES CRÍTICAS EN CAMPO</w:t>
      </w:r>
    </w:p>
    <w:p>
      <w:pPr>
        <w:spacing w:before="160" w:after="40"/>
      </w:pPr>
      <w:r>
        <w:rPr>
          <w:b/>
          <w:sz w:val="19"/>
        </w:rPr>
        <w:t>3.1 Instalación PWA y Ciclo de Vida del Service Worker</w:t>
      </w:r>
    </w:p>
    <w:p>
      <w:pPr>
        <w:spacing w:line="276" w:lineRule="auto" w:after="120"/>
      </w:pPr>
      <w:r>
        <w:rPr>
          <w:sz w:val="17"/>
        </w:rPr>
        <w:t>El empaquetado de producción de Vite genera un manifest conforme a los estándares W3C (display: standalone, theme_color: #1565C0, iconos responsivos 64x64, 192x192, 512x512 y maskable). El Service Worker ('sw.js') emplea Workbox bajo la estrategia injectManifest:</w:t>
        <w:br/>
        <w:t xml:space="preserve">  • Precaching de 8 activos estáticos esenciales (963.20 KiB) para arranque instantáneo sin red.</w:t>
        <w:br/>
        <w:t xml:space="preserve">  • NetworkFirst con timeout de 3 segundos para catálogos y asignaciones de inspectores.</w:t>
        <w:br/>
        <w:t xml:space="preserve">  • NetworkOnly para endpoints de autenticación y mutaciones de inspección (delegadas a la cola local).</w:t>
        <w:br/>
        <w:t xml:space="preserve">  • StaleWhileRevalidate para recursos estáticos y consultas secundarias.</w:t>
      </w:r>
    </w:p>
    <w:p>
      <w:pPr>
        <w:spacing w:before="160" w:after="40"/>
      </w:pPr>
      <w:r>
        <w:rPr>
          <w:b/>
          <w:sz w:val="19"/>
        </w:rPr>
        <w:t>3.2 Captura de Coordenadas Satelitales GPS en Tiempo Real (GeoJSON)</w:t>
      </w:r>
    </w:p>
    <w:p>
      <w:pPr>
        <w:spacing w:line="276" w:lineRule="auto" w:after="120"/>
      </w:pPr>
      <w:r>
        <w:rPr>
          <w:sz w:val="17"/>
        </w:rPr>
        <w:t>Cada criterio de la ficha técnica cuenta con un modal interactivo con soporte de geolocalización:</w:t>
        <w:br/>
        <w:t xml:space="preserve">  • Consumo de la API nativa 'navigator.geolocation.getCurrentPosition' con 'enableHighAccuracy: true' y timeout de 10 segundos.</w:t>
        <w:br/>
        <w:t xml:space="preserve">  • Generación de un archivo formal FeatureCollection GeoJSON que empaqueta coordenadas [longitud, latitud], timestamp ISO y metadatos del criterio.</w:t>
        <w:br/>
        <w:t xml:space="preserve">  • Almacenamiento desacoplado con vinculación directa a 'respuestaItemId', garantizando trazabilidad geográfica de cada hallazgo.</w:t>
      </w:r>
    </w:p>
    <w:p>
      <w:pPr>
        <w:spacing w:before="160" w:after="40"/>
      </w:pPr>
      <w:r>
        <w:rPr>
          <w:b/>
          <w:sz w:val="19"/>
        </w:rPr>
        <w:t>3.3 Integración de Cámara y Compresión de Evidencias en el Cliente</w:t>
      </w:r>
    </w:p>
    <w:p>
      <w:pPr>
        <w:spacing w:line="276" w:lineRule="auto" w:after="120"/>
      </w:pPr>
      <w:r>
        <w:rPr>
          <w:sz w:val="17"/>
        </w:rPr>
        <w:t>Para optimizar la transferencia en redes móviles 3G/4G y preservar el almacenamiento local:</w:t>
        <w:br/>
        <w:t xml:space="preserve">  • El selector multimedia interactúa de forma directa con la cámara nativa del teléfono inteligente o la galería.</w:t>
        <w:br/>
        <w:t xml:space="preserve">  • El módulo cliente 'compressor.ts' procesa imágenes JPEG/PNG mediante Canvas, reduciendo fotografías de alta resolución (5 a 12 MB) a pesos inferiores a 300 KB (calidad 0.7, resolución máxima 1200px) sin comprometer la legibilidad pericial del acta.</w:t>
      </w:r>
    </w:p>
    <w:p>
      <w:pPr>
        <w:spacing w:before="160" w:after="40"/>
      </w:pPr>
      <w:r>
        <w:rPr>
          <w:b/>
          <w:sz w:val="19"/>
        </w:rPr>
        <w:t>3.4 Sincronización Real Extremo a Extremo (Offline ➡️ Online)</w:t>
      </w:r>
    </w:p>
    <w:p>
      <w:pPr>
        <w:spacing w:line="276" w:lineRule="auto" w:after="120"/>
      </w:pPr>
      <w:r>
        <w:rPr>
          <w:sz w:val="17"/>
        </w:rPr>
        <w:t>Certificado rigurosamente mediante la suite automatizada 'apps/web/src/lib/sync/sync-escenario-offline-online.test.ts':</w:t>
        <w:br/>
        <w:t xml:space="preserve">  • El inspector en planta acumula operaciones sin red: apertura de evaluación, registro de respuestas, evidencias GeoJSON, finalización e informe.</w:t>
        <w:br/>
        <w:t xml:space="preserve">  • Las operaciones se aseguran localmente en 'db.cola_sync' con orden monotónico garantizado mediante generador de timestamp incremental.</w:t>
        <w:br/>
        <w:t xml:space="preserve">  • Al restablecer la red, 'SyncProcessor' transmite las transacciones en estricto orden FIFO con autenticación Bearer y formato multiparte.</w:t>
        <w:br/>
        <w:t xml:space="preserve">  • Idempotencia asegurada mediante UUID local, transicionando los registros a estado 'enviado' y vaciando el contador a cero.</w:t>
        <w:br/>
        <w:t xml:space="preserve">  • Tolerancia a fallos comprobada: ante errores transitorios de servidor (HTTP 500), el procesador activa backoff exponencial protector sin pérdida de información.</w:t>
      </w:r>
    </w:p>
    <w:p>
      <w:pPr>
        <w:spacing w:before="320" w:after="160"/>
      </w:pPr>
      <w:r>
        <w:rPr>
          <w:b/>
          <w:sz w:val="22"/>
        </w:rPr>
        <w:t>4. DICTAMEN DE CONFORMIDAD Y FIRMAS DE CERTIFICACIÓN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none"/>
          <w:right w:val="none"/>
        </w:tblBorders>
      </w:tblPr>
      <w:tblGrid>
        <w:gridCol w:w="3096"/>
        <w:gridCol w:w="3096"/>
        <w:gridCol w:w="3096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DICTAMEN: CONFORME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REVISIÓN: APROBADA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LIBERACIÓN: AUTORIZADA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Auditor de Calidad (QA Lead)</w:t>
              <w:br/>
              <w:t>Rowlis Trinidad</w:t>
              <w:br/>
              <w:t>Ing. Aseguramiento de Software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Revisor Técnico Independiente</w:t>
              <w:br/>
              <w:t>Ingeniería de Sistemas DIGEMAPS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Coordinador General de Proyecto</w:t>
              <w:br/>
              <w:t>Dirección de Tecnologías DIGEMAPS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