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768"/>
        <w:gridCol w:w="2880"/>
      </w:tblGrid>
      <w:tr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7"/>
              </w:rPr>
              <w:t>DIRECCIÓN GENERAL DE MEDICAMENTOS, ALIMENTOS Y PRODUCTOS SANITARIOS</w:t>
              <w:br/>
            </w:r>
            <w:r>
              <w:rPr>
                <w:color w:val="5A5A5A"/>
                <w:sz w:val="16"/>
              </w:rPr>
              <w:t>DEPARTAMENTO DE ASEGURAMIENTO DE CALIDAD (QA)</w:t>
            </w:r>
          </w:p>
        </w:tc>
        <w:tc>
          <w:tcPr>
            <w:tcW w:type="dxa" w:w="4824"/>
          </w:tcPr>
          <w:p>
            <w:pPr>
              <w:spacing w:after="40"/>
              <w:jc w:val="right"/>
            </w:pPr>
            <w:r>
              <w:rPr>
                <w:b/>
                <w:sz w:val="17"/>
              </w:rPr>
              <w:t>ÍNDICE MAESTRO</w:t>
              <w:br/>
            </w:r>
            <w:r>
              <w:rPr>
                <w:color w:val="5A5A5A"/>
                <w:sz w:val="15"/>
              </w:rPr>
              <w:t>TOTAL: 14 DEFECTOS CERRADOS</w:t>
            </w:r>
          </w:p>
        </w:tc>
      </w:tr>
    </w:tbl>
    <w:p>
      <w:pPr>
        <w:spacing w:after="160"/>
      </w:pPr>
    </w:p>
    <w:p>
      <w:pPr>
        <w:spacing w:after="80"/>
      </w:pPr>
      <w:r>
        <w:rPr>
          <w:b/>
          <w:sz w:val="26"/>
        </w:rPr>
        <w:t>ÍNDICE MAESTRO DE INFORMES DE DEFECTOS Y RESOLUCIONES</w:t>
      </w:r>
    </w:p>
    <w:p>
      <w:pPr>
        <w:spacing w:after="240"/>
      </w:pPr>
      <w:r>
        <w:rPr>
          <w:color w:val="5A5A5A"/>
          <w:sz w:val="19"/>
        </w:rPr>
        <w:t>Consolidado oficial de las 14 no conformidades detectadas, analizadas y resueltas durante el ciclo de pruebas de QA.</w:t>
      </w:r>
    </w:p>
    <w:p>
      <w:pPr>
        <w:spacing w:after="160" w:line="276" w:lineRule="auto"/>
      </w:pPr>
      <w:r>
        <w:t>El presente índice relaciona los 14 informes técnicos individuales generados en formato Microsoft Word (.docx), los cuales documentan el diagnóstico de causa raíz (RCA), la solución implementada a nivel de código y base de datos, y las evidencias de verificación automatizada. Todos los defectos reportados se encuentran actualmente en estado CERRADO / VERIFICADO con 100% de pruebas unitarias y de integración aprobadas (56 en Backend, 160 en Frontend).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insideH w:val="single" w:sz="4" w:space="0" w:color="D1D5DB"/>
          <w:insideV w:val="single" w:sz="4" w:space="0" w:color="D1D5DB"/>
          <w:left w:val="none"/>
          <w:right w:val="none"/>
        </w:tblBorders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72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F3F4F6"/>
          </w:tcPr>
          <w:p>
            <w:pPr>
              <w:spacing w:after="0"/>
            </w:pPr>
            <w:r>
              <w:rPr>
                <w:b/>
                <w:sz w:val="17"/>
              </w:rPr>
              <w:t>Código</w:t>
            </w:r>
          </w:p>
        </w:tc>
        <w:tc>
          <w:tcPr>
            <w:tcW w:type="dxa" w:w="1872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F3F4F6"/>
          </w:tcPr>
          <w:p>
            <w:pPr>
              <w:spacing w:after="0"/>
            </w:pPr>
            <w:r>
              <w:rPr>
                <w:b/>
                <w:sz w:val="17"/>
              </w:rPr>
              <w:t>Módulo</w:t>
            </w:r>
          </w:p>
        </w:tc>
        <w:tc>
          <w:tcPr>
            <w:tcW w:type="dxa" w:w="388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F3F4F6"/>
          </w:tcPr>
          <w:p>
            <w:pPr>
              <w:spacing w:after="0"/>
            </w:pPr>
            <w:r>
              <w:rPr>
                <w:b/>
                <w:sz w:val="17"/>
              </w:rPr>
              <w:t>Descripción del Defecto</w:t>
            </w:r>
          </w:p>
        </w:tc>
        <w:tc>
          <w:tcPr>
            <w:tcW w:type="dxa" w:w="1152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F3F4F6"/>
          </w:tcPr>
          <w:p>
            <w:pPr>
              <w:spacing w:after="0"/>
            </w:pPr>
            <w:r>
              <w:rPr>
                <w:b/>
                <w:sz w:val="17"/>
              </w:rPr>
              <w:t>Severidad</w:t>
            </w:r>
          </w:p>
        </w:tc>
        <w:tc>
          <w:tcPr>
            <w:tcW w:type="dxa" w:w="100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F3F4F6"/>
          </w:tcPr>
          <w:p>
            <w:pPr>
              <w:spacing w:after="0"/>
            </w:pPr>
            <w:r>
              <w:rPr>
                <w:b/>
                <w:sz w:val="17"/>
              </w:rPr>
              <w:t>Estado</w:t>
            </w:r>
          </w:p>
        </w:tc>
      </w:tr>
      <w:tr>
        <w:tc>
          <w:tcPr>
            <w:tcW w:type="dxa" w:w="172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b/>
                <w:sz w:val="16"/>
              </w:rPr>
              <w:t>DEF-2026-001</w:t>
            </w:r>
          </w:p>
        </w:tc>
        <w:tc>
          <w:tcPr>
            <w:tcW w:type="dxa" w:w="1872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6"/>
              </w:rPr>
              <w:t>Técnico Evaluador</w:t>
            </w:r>
          </w:p>
        </w:tc>
        <w:tc>
          <w:tcPr>
            <w:tcW w:type="dxa" w:w="388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6"/>
              </w:rPr>
              <w:t>Reapertura de evaluación finalizada para corrección técnica</w:t>
            </w:r>
          </w:p>
        </w:tc>
        <w:tc>
          <w:tcPr>
            <w:tcW w:type="dxa" w:w="1152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6"/>
              </w:rPr>
              <w:t>Media</w:t>
            </w:r>
          </w:p>
        </w:tc>
        <w:tc>
          <w:tcPr>
            <w:tcW w:type="dxa" w:w="100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b/>
                <w:sz w:val="16"/>
              </w:rPr>
              <w:t>Cerrado</w:t>
            </w:r>
          </w:p>
        </w:tc>
      </w:tr>
      <w:tr>
        <w:tc>
          <w:tcPr>
            <w:tcW w:type="dxa" w:w="172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b/>
                <w:sz w:val="16"/>
              </w:rPr>
              <w:t>DEF-2026-002</w:t>
            </w:r>
          </w:p>
        </w:tc>
        <w:tc>
          <w:tcPr>
            <w:tcW w:type="dxa" w:w="1872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6"/>
              </w:rPr>
              <w:t>Motor de Riesgo</w:t>
            </w:r>
          </w:p>
        </w:tc>
        <w:tc>
          <w:tcPr>
            <w:tcW w:type="dxa" w:w="388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6"/>
              </w:rPr>
              <w:t>Fallo HTTP 400 por ausencia de subcategorías de alimento</w:t>
            </w:r>
          </w:p>
        </w:tc>
        <w:tc>
          <w:tcPr>
            <w:tcW w:type="dxa" w:w="1152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6"/>
              </w:rPr>
              <w:t>Alta</w:t>
            </w:r>
          </w:p>
        </w:tc>
        <w:tc>
          <w:tcPr>
            <w:tcW w:type="dxa" w:w="100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b/>
                <w:sz w:val="16"/>
              </w:rPr>
              <w:t>Cerrado</w:t>
            </w:r>
          </w:p>
        </w:tc>
      </w:tr>
      <w:tr>
        <w:tc>
          <w:tcPr>
            <w:tcW w:type="dxa" w:w="172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b/>
                <w:sz w:val="16"/>
              </w:rPr>
              <w:t>DEF-2026-003</w:t>
            </w:r>
          </w:p>
        </w:tc>
        <w:tc>
          <w:tcPr>
            <w:tcW w:type="dxa" w:w="1872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6"/>
              </w:rPr>
              <w:t>Técnico Evaluador</w:t>
            </w:r>
          </w:p>
        </w:tc>
        <w:tc>
          <w:tcPr>
            <w:tcW w:type="dxa" w:w="388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6"/>
              </w:rPr>
              <w:t>Falta de visibilidad de antecedentes e historial de inspección</w:t>
            </w:r>
          </w:p>
        </w:tc>
        <w:tc>
          <w:tcPr>
            <w:tcW w:type="dxa" w:w="1152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6"/>
              </w:rPr>
              <w:t>Media</w:t>
            </w:r>
          </w:p>
        </w:tc>
        <w:tc>
          <w:tcPr>
            <w:tcW w:type="dxa" w:w="100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b/>
                <w:sz w:val="16"/>
              </w:rPr>
              <w:t>Cerrado</w:t>
            </w:r>
          </w:p>
        </w:tc>
      </w:tr>
      <w:tr>
        <w:tc>
          <w:tcPr>
            <w:tcW w:type="dxa" w:w="172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b/>
                <w:sz w:val="16"/>
              </w:rPr>
              <w:t>DEF-2026-004</w:t>
            </w:r>
          </w:p>
        </w:tc>
        <w:tc>
          <w:tcPr>
            <w:tcW w:type="dxa" w:w="1872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6"/>
              </w:rPr>
              <w:t>Coordinador</w:t>
            </w:r>
          </w:p>
        </w:tc>
        <w:tc>
          <w:tcPr>
            <w:tcW w:type="dxa" w:w="388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6"/>
              </w:rPr>
              <w:t>Desvinculación y reasignación de técnicos en casos activos</w:t>
            </w:r>
          </w:p>
        </w:tc>
        <w:tc>
          <w:tcPr>
            <w:tcW w:type="dxa" w:w="1152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6"/>
              </w:rPr>
              <w:t>Alta</w:t>
            </w:r>
          </w:p>
        </w:tc>
        <w:tc>
          <w:tcPr>
            <w:tcW w:type="dxa" w:w="100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b/>
                <w:sz w:val="16"/>
              </w:rPr>
              <w:t>Cerrado</w:t>
            </w:r>
          </w:p>
        </w:tc>
      </w:tr>
      <w:tr>
        <w:tc>
          <w:tcPr>
            <w:tcW w:type="dxa" w:w="172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b/>
                <w:sz w:val="16"/>
              </w:rPr>
              <w:t>DEF-2026-005</w:t>
            </w:r>
          </w:p>
        </w:tc>
        <w:tc>
          <w:tcPr>
            <w:tcW w:type="dxa" w:w="1872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6"/>
              </w:rPr>
              <w:t>Coordinador / Histórico</w:t>
            </w:r>
          </w:p>
        </w:tc>
        <w:tc>
          <w:tcPr>
            <w:tcW w:type="dxa" w:w="388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6"/>
              </w:rPr>
              <w:t>Inspección detallada de expedientes cerrados e histórico</w:t>
            </w:r>
          </w:p>
        </w:tc>
        <w:tc>
          <w:tcPr>
            <w:tcW w:type="dxa" w:w="1152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6"/>
              </w:rPr>
              <w:t>Media</w:t>
            </w:r>
          </w:p>
        </w:tc>
        <w:tc>
          <w:tcPr>
            <w:tcW w:type="dxa" w:w="100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b/>
                <w:sz w:val="16"/>
              </w:rPr>
              <w:t>Cerrado</w:t>
            </w:r>
          </w:p>
        </w:tc>
      </w:tr>
      <w:tr>
        <w:tc>
          <w:tcPr>
            <w:tcW w:type="dxa" w:w="172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b/>
                <w:sz w:val="16"/>
              </w:rPr>
              <w:t>DEF-2026-006</w:t>
            </w:r>
          </w:p>
        </w:tc>
        <w:tc>
          <w:tcPr>
            <w:tcW w:type="dxa" w:w="1872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6"/>
              </w:rPr>
              <w:t>Portal Empresa</w:t>
            </w:r>
          </w:p>
        </w:tc>
        <w:tc>
          <w:tcPr>
            <w:tcW w:type="dxa" w:w="388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6"/>
              </w:rPr>
              <w:t>Validación estricta contra signos negativos en RNC y teléfono</w:t>
            </w:r>
          </w:p>
        </w:tc>
        <w:tc>
          <w:tcPr>
            <w:tcW w:type="dxa" w:w="1152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6"/>
              </w:rPr>
              <w:t>Media</w:t>
            </w:r>
          </w:p>
        </w:tc>
        <w:tc>
          <w:tcPr>
            <w:tcW w:type="dxa" w:w="100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b/>
                <w:sz w:val="16"/>
              </w:rPr>
              <w:t>Cerrado</w:t>
            </w:r>
          </w:p>
        </w:tc>
      </w:tr>
      <w:tr>
        <w:tc>
          <w:tcPr>
            <w:tcW w:type="dxa" w:w="172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b/>
                <w:sz w:val="16"/>
              </w:rPr>
              <w:t>DEF-2026-007</w:t>
            </w:r>
          </w:p>
        </w:tc>
        <w:tc>
          <w:tcPr>
            <w:tcW w:type="dxa" w:w="1872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6"/>
              </w:rPr>
              <w:t>Establecimientos / API</w:t>
            </w:r>
          </w:p>
        </w:tc>
        <w:tc>
          <w:tcPr>
            <w:tcW w:type="dxa" w:w="388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6"/>
              </w:rPr>
              <w:t>Desbordamiento de entero de 32 bits (P2020 / Error 500)</w:t>
            </w:r>
          </w:p>
        </w:tc>
        <w:tc>
          <w:tcPr>
            <w:tcW w:type="dxa" w:w="1152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6"/>
              </w:rPr>
              <w:t>Crítica</w:t>
            </w:r>
          </w:p>
        </w:tc>
        <w:tc>
          <w:tcPr>
            <w:tcW w:type="dxa" w:w="100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b/>
                <w:sz w:val="16"/>
              </w:rPr>
              <w:t>Cerrado</w:t>
            </w:r>
          </w:p>
        </w:tc>
      </w:tr>
      <w:tr>
        <w:tc>
          <w:tcPr>
            <w:tcW w:type="dxa" w:w="172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b/>
                <w:sz w:val="16"/>
              </w:rPr>
              <w:t>DEF-2026-008</w:t>
            </w:r>
          </w:p>
        </w:tc>
        <w:tc>
          <w:tcPr>
            <w:tcW w:type="dxa" w:w="1872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6"/>
              </w:rPr>
              <w:t>Portal Empresa</w:t>
            </w:r>
          </w:p>
        </w:tc>
        <w:tc>
          <w:tcPr>
            <w:tcW w:type="dxa" w:w="388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6"/>
              </w:rPr>
              <w:t>Navegación y retorno cómodo a la pantalla de Mi Empresa</w:t>
            </w:r>
          </w:p>
        </w:tc>
        <w:tc>
          <w:tcPr>
            <w:tcW w:type="dxa" w:w="1152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6"/>
              </w:rPr>
              <w:t>Baja</w:t>
            </w:r>
          </w:p>
        </w:tc>
        <w:tc>
          <w:tcPr>
            <w:tcW w:type="dxa" w:w="100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b/>
                <w:sz w:val="16"/>
              </w:rPr>
              <w:t>Cerrado</w:t>
            </w:r>
          </w:p>
        </w:tc>
      </w:tr>
      <w:tr>
        <w:tc>
          <w:tcPr>
            <w:tcW w:type="dxa" w:w="172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b/>
                <w:sz w:val="16"/>
              </w:rPr>
              <w:t>DEF-2026-009</w:t>
            </w:r>
          </w:p>
        </w:tc>
        <w:tc>
          <w:tcPr>
            <w:tcW w:type="dxa" w:w="1872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6"/>
              </w:rPr>
              <w:t>Técnico Evaluador</w:t>
            </w:r>
          </w:p>
        </w:tc>
        <w:tc>
          <w:tcPr>
            <w:tcW w:type="dxa" w:w="388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6"/>
              </w:rPr>
              <w:t>Salida cómoda del modo de evaluación al panel del técnico</w:t>
            </w:r>
          </w:p>
        </w:tc>
        <w:tc>
          <w:tcPr>
            <w:tcW w:type="dxa" w:w="1152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6"/>
              </w:rPr>
              <w:t>Media</w:t>
            </w:r>
          </w:p>
        </w:tc>
        <w:tc>
          <w:tcPr>
            <w:tcW w:type="dxa" w:w="100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b/>
                <w:sz w:val="16"/>
              </w:rPr>
              <w:t>Cerrado</w:t>
            </w:r>
          </w:p>
        </w:tc>
      </w:tr>
      <w:tr>
        <w:tc>
          <w:tcPr>
            <w:tcW w:type="dxa" w:w="172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b/>
                <w:sz w:val="16"/>
              </w:rPr>
              <w:t>DEF-2026-010</w:t>
            </w:r>
          </w:p>
        </w:tc>
        <w:tc>
          <w:tcPr>
            <w:tcW w:type="dxa" w:w="1872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6"/>
              </w:rPr>
              <w:t>Administración</w:t>
            </w:r>
          </w:p>
        </w:tc>
        <w:tc>
          <w:tcPr>
            <w:tcW w:type="dxa" w:w="388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6"/>
              </w:rPr>
              <w:t>Blindaje contra auto-democión del rol de Administrador</w:t>
            </w:r>
          </w:p>
        </w:tc>
        <w:tc>
          <w:tcPr>
            <w:tcW w:type="dxa" w:w="1152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6"/>
              </w:rPr>
              <w:t>Alta</w:t>
            </w:r>
          </w:p>
        </w:tc>
        <w:tc>
          <w:tcPr>
            <w:tcW w:type="dxa" w:w="100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b/>
                <w:sz w:val="16"/>
              </w:rPr>
              <w:t>Cerrado</w:t>
            </w:r>
          </w:p>
        </w:tc>
      </w:tr>
      <w:tr>
        <w:tc>
          <w:tcPr>
            <w:tcW w:type="dxa" w:w="172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b/>
                <w:sz w:val="16"/>
              </w:rPr>
              <w:t>DEF-2026-011</w:t>
            </w:r>
          </w:p>
        </w:tc>
        <w:tc>
          <w:tcPr>
            <w:tcW w:type="dxa" w:w="1872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6"/>
              </w:rPr>
              <w:t>Administración</w:t>
            </w:r>
          </w:p>
        </w:tc>
        <w:tc>
          <w:tcPr>
            <w:tcW w:type="dxa" w:w="388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6"/>
              </w:rPr>
              <w:t>Humanización de etiqueta 'Pendiente de validación' y estética</w:t>
            </w:r>
          </w:p>
        </w:tc>
        <w:tc>
          <w:tcPr>
            <w:tcW w:type="dxa" w:w="1152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6"/>
              </w:rPr>
              <w:t>Media</w:t>
            </w:r>
          </w:p>
        </w:tc>
        <w:tc>
          <w:tcPr>
            <w:tcW w:type="dxa" w:w="100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b/>
                <w:sz w:val="16"/>
              </w:rPr>
              <w:t>Cerrado</w:t>
            </w:r>
          </w:p>
        </w:tc>
      </w:tr>
      <w:tr>
        <w:tc>
          <w:tcPr>
            <w:tcW w:type="dxa" w:w="172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b/>
                <w:sz w:val="16"/>
              </w:rPr>
              <w:t>DEF-2026-012</w:t>
            </w:r>
          </w:p>
        </w:tc>
        <w:tc>
          <w:tcPr>
            <w:tcW w:type="dxa" w:w="1872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6"/>
              </w:rPr>
              <w:t>Coordinador</w:t>
            </w:r>
          </w:p>
        </w:tc>
        <w:tc>
          <w:tcPr>
            <w:tcW w:type="dxa" w:w="388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6"/>
              </w:rPr>
              <w:t>Bandeja de informes devueltos y acción Deshacer devolución</w:t>
            </w:r>
          </w:p>
        </w:tc>
        <w:tc>
          <w:tcPr>
            <w:tcW w:type="dxa" w:w="1152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6"/>
              </w:rPr>
              <w:t>Alta</w:t>
            </w:r>
          </w:p>
        </w:tc>
        <w:tc>
          <w:tcPr>
            <w:tcW w:type="dxa" w:w="100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b/>
                <w:sz w:val="16"/>
              </w:rPr>
              <w:t>Cerrado</w:t>
            </w:r>
          </w:p>
        </w:tc>
      </w:tr>
      <w:tr>
        <w:tc>
          <w:tcPr>
            <w:tcW w:type="dxa" w:w="172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b/>
                <w:sz w:val="16"/>
              </w:rPr>
              <w:t>DEF-2026-013</w:t>
            </w:r>
          </w:p>
        </w:tc>
        <w:tc>
          <w:tcPr>
            <w:tcW w:type="dxa" w:w="1872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6"/>
              </w:rPr>
              <w:t>Coordinador</w:t>
            </w:r>
          </w:p>
        </w:tc>
        <w:tc>
          <w:tcPr>
            <w:tcW w:type="dxa" w:w="388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6"/>
              </w:rPr>
              <w:t>Retiro de tooltip técnico interno y unificación de acciones</w:t>
            </w:r>
          </w:p>
        </w:tc>
        <w:tc>
          <w:tcPr>
            <w:tcW w:type="dxa" w:w="1152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6"/>
              </w:rPr>
              <w:t>Baja</w:t>
            </w:r>
          </w:p>
        </w:tc>
        <w:tc>
          <w:tcPr>
            <w:tcW w:type="dxa" w:w="100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b/>
                <w:sz w:val="16"/>
              </w:rPr>
              <w:t>Cerrado</w:t>
            </w:r>
          </w:p>
        </w:tc>
      </w:tr>
      <w:tr>
        <w:tc>
          <w:tcPr>
            <w:tcW w:type="dxa" w:w="172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b/>
                <w:sz w:val="16"/>
              </w:rPr>
              <w:t>DEF-2026-014</w:t>
            </w:r>
          </w:p>
        </w:tc>
        <w:tc>
          <w:tcPr>
            <w:tcW w:type="dxa" w:w="1872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6"/>
              </w:rPr>
              <w:t>Solicitud BPM / Catálogo</w:t>
            </w:r>
          </w:p>
        </w:tc>
        <w:tc>
          <w:tcPr>
            <w:tcW w:type="dxa" w:w="388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6"/>
              </w:rPr>
              <w:t>Catálogo dinámico y desplegable de Tipos de Establecimiento</w:t>
            </w:r>
          </w:p>
        </w:tc>
        <w:tc>
          <w:tcPr>
            <w:tcW w:type="dxa" w:w="1152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6"/>
              </w:rPr>
              <w:t>Media</w:t>
            </w:r>
          </w:p>
        </w:tc>
        <w:tc>
          <w:tcPr>
            <w:tcW w:type="dxa" w:w="100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b/>
                <w:sz w:val="16"/>
              </w:rPr>
              <w:t>Cerrado</w:t>
            </w:r>
          </w:p>
        </w:tc>
      </w:tr>
      <w:tr>
        <w:tc>
          <w:tcPr>
            <w:tcW w:type="dxa" w:w="172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b/>
                <w:sz w:val="16"/>
              </w:rPr>
              <w:t>DEF-2026-015</w:t>
            </w:r>
          </w:p>
        </w:tc>
        <w:tc>
          <w:tcPr>
            <w:tcW w:type="dxa" w:w="1872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6"/>
              </w:rPr>
              <w:t>Perfil / Sesiones</w:t>
            </w:r>
          </w:p>
        </w:tc>
        <w:tc>
          <w:tcPr>
            <w:tcW w:type="dxa" w:w="388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6"/>
              </w:rPr>
              <w:t>Aislamiento estricto de perfil y purga de caché en cambios de sesión</w:t>
            </w:r>
          </w:p>
        </w:tc>
        <w:tc>
          <w:tcPr>
            <w:tcW w:type="dxa" w:w="1152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6"/>
              </w:rPr>
              <w:t>Mayor</w:t>
            </w:r>
          </w:p>
        </w:tc>
        <w:tc>
          <w:tcPr>
            <w:tcW w:type="dxa" w:w="100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b/>
                <w:sz w:val="16"/>
              </w:rPr>
              <w:t>Cerrado</w:t>
            </w:r>
          </w:p>
        </w:tc>
      </w:tr>
    </w:tbl>
    <w:p>
      <w:pPr>
        <w:spacing w:before="280" w:after="80"/>
      </w:pPr>
      <w:r>
        <w:rPr>
          <w:b/>
          <w:sz w:val="20"/>
        </w:rPr>
        <w:t>APROBACIÓN Y CERTIFICACIÓN DEL PAQUETE DE CALIDAD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insideH w:val="single" w:sz="4" w:space="0" w:color="D1D5DB"/>
          <w:insideV w:val="single" w:sz="4" w:space="0" w:color="D1D5DB"/>
          <w:left w:val="none"/>
          <w:right w:val="none"/>
        </w:tblBorders>
      </w:tblPr>
      <w:tblGrid>
        <w:gridCol w:w="3216"/>
        <w:gridCol w:w="3216"/>
        <w:gridCol w:w="3216"/>
      </w:tblGrid>
      <w:tr>
        <w:tc>
          <w:tcPr>
            <w:tcW w:type="dxa" w:w="3211"/>
            <w:tcMar>
              <w:top w:w="70" w:type="dxa"/>
              <w:bottom w:w="70" w:type="dxa"/>
              <w:left w:w="80" w:type="dxa"/>
              <w:right w:w="80" w:type="dxa"/>
            </w:tcMar>
            <w:shd w:fill="F9FAFB"/>
          </w:tcPr>
          <w:p>
            <w:pPr>
              <w:spacing w:after="0"/>
            </w:pPr>
            <w:r>
              <w:rPr>
                <w:b/>
                <w:sz w:val="16"/>
              </w:rPr>
              <w:t>Preparado por</w:t>
            </w:r>
          </w:p>
        </w:tc>
        <w:tc>
          <w:tcPr>
            <w:tcW w:type="dxa" w:w="3211"/>
            <w:tcMar>
              <w:top w:w="70" w:type="dxa"/>
              <w:bottom w:w="70" w:type="dxa"/>
              <w:left w:w="80" w:type="dxa"/>
              <w:right w:w="80" w:type="dxa"/>
            </w:tcMar>
            <w:shd w:fill="F9FAFB"/>
          </w:tcPr>
          <w:p>
            <w:pPr>
              <w:spacing w:after="0"/>
            </w:pPr>
            <w:r>
              <w:rPr>
                <w:b/>
                <w:sz w:val="16"/>
              </w:rPr>
              <w:t>Revisado por</w:t>
            </w:r>
          </w:p>
        </w:tc>
        <w:tc>
          <w:tcPr>
            <w:tcW w:type="dxa" w:w="3211"/>
            <w:tcMar>
              <w:top w:w="70" w:type="dxa"/>
              <w:bottom w:w="70" w:type="dxa"/>
              <w:left w:w="80" w:type="dxa"/>
              <w:right w:w="80" w:type="dxa"/>
            </w:tcMar>
            <w:shd w:fill="F9FAFB"/>
          </w:tcPr>
          <w:p>
            <w:pPr>
              <w:spacing w:after="0"/>
            </w:pPr>
            <w:r>
              <w:rPr>
                <w:b/>
                <w:sz w:val="16"/>
              </w:rPr>
              <w:t>Aprobado por</w:t>
            </w:r>
          </w:p>
        </w:tc>
      </w:tr>
      <w:tr>
        <w:tc>
          <w:tcPr>
            <w:tcW w:type="dxa" w:w="3211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line="288" w:lineRule="auto"/>
            </w:pPr>
            <w:r>
              <w:rPr>
                <w:color w:val="3C3C3C"/>
                <w:sz w:val="16"/>
              </w:rPr>
              <w:t>Equipo de Aseguramiento QA</w:t>
              <w:br/>
              <w:t>Firma: __________________</w:t>
              <w:br/>
              <w:t>Fecha: 13/09/2026</w:t>
            </w:r>
          </w:p>
        </w:tc>
        <w:tc>
          <w:tcPr>
            <w:tcW w:type="dxa" w:w="3211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line="288" w:lineRule="auto"/>
            </w:pPr>
            <w:r>
              <w:rPr>
                <w:color w:val="3C3C3C"/>
                <w:sz w:val="16"/>
              </w:rPr>
              <w:t>Líder de Desarrollo de Software</w:t>
              <w:br/>
              <w:t>Firma: __________________</w:t>
              <w:br/>
              <w:t>Fecha: 13/09/2026</w:t>
            </w:r>
          </w:p>
        </w:tc>
        <w:tc>
          <w:tcPr>
            <w:tcW w:type="dxa" w:w="3211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line="288" w:lineRule="auto"/>
            </w:pPr>
            <w:r>
              <w:rPr>
                <w:color w:val="3C3C3C"/>
                <w:sz w:val="16"/>
              </w:rPr>
              <w:t>Dirección de Tecnología / DIGEMAPS</w:t>
              <w:br/>
              <w:t>Firma: __________________</w:t>
              <w:br/>
              <w:t>Fecha: 13/09/2026</w:t>
            </w:r>
          </w:p>
        </w:tc>
      </w:tr>
    </w:tbl>
    <w:sectPr w:rsidR="00FC693F" w:rsidRPr="0006063C" w:rsidSect="00034616">
      <w:pgSz w:w="12240" w:h="15840"/>
      <w:pgMar w:top="1440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E1E1E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