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2880"/>
      </w:tblGrid>
      <w:tr>
        <w:tc>
          <w:tcPr>
            <w:tcW w:type="dxa" w:w="4680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680"/>
          </w:tcPr>
          <w:p>
            <w:pPr>
              <w:spacing w:after="40"/>
              <w:jc w:val="right"/>
            </w:pPr>
            <w:r>
              <w:rPr>
                <w:b/>
                <w:sz w:val="16"/>
              </w:rPr>
              <w:t xml:space="preserve">CÓDIGO: </w:t>
            </w:r>
            <w:r>
              <w:rPr>
                <w:b/>
                <w:sz w:val="17"/>
              </w:rPr>
              <w:t>DEF-2026-008</w:t>
              <w:br/>
            </w:r>
            <w:r>
              <w:rPr>
                <w:color w:val="5A5A5A"/>
                <w:sz w:val="15"/>
              </w:rPr>
              <w:t>VERSIÓN: 1.0 | ESTADO: CERRADO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color w:val="141414"/>
          <w:sz w:val="26"/>
        </w:rPr>
        <w:t>INFORME DE NO CONFORMIDAD / DEFECTO TÉCNICO</w:t>
      </w:r>
    </w:p>
    <w:p>
      <w:pPr>
        <w:spacing w:after="280"/>
      </w:pPr>
      <w:r>
        <w:rPr>
          <w:color w:val="5A5A5A"/>
          <w:sz w:val="19"/>
        </w:rPr>
        <w:t>Sistema: Evaluación Basada en Riesgo (EBR / BPM) | Módulo: Empresa — Navegación y Retorno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Identificador: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DEF-2026-008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Reporte: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Módulo: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Portal Empresa / Formularios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Fecha de Cierre: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13/09/2026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Severidad: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Baja (Heurística de Navegación)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Prioridad: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P3 (Baja)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Tipo de Defecto: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Usabilidad / Factores Humanos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Ambiente: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Staging / QA Local (Win 11 / Chrome)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Reportado Por:</w:t>
            </w:r>
          </w:p>
        </w:tc>
        <w:tc>
          <w:tcPr>
            <w:tcW w:type="dxa" w:w="288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sz w:val="17"/>
              </w:rPr>
              <w:t>Equipo de Pruebas de Calidad</w:t>
            </w:r>
          </w:p>
        </w:tc>
        <w:tc>
          <w:tcPr>
            <w:tcW w:type="dxa" w:w="20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7"/>
              </w:rPr>
              <w:t>Dictamen Final:</w:t>
            </w:r>
          </w:p>
        </w:tc>
        <w:tc>
          <w:tcPr>
            <w:tcW w:type="dxa" w:w="230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RESUELTO / VERIFICADO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141414"/>
          <w:sz w:val="22"/>
        </w:rPr>
        <w:t>1. DESCRIPCIÓN DEL DEFECTO</w:t>
      </w:r>
    </w:p>
    <w:p>
      <w:pPr>
        <w:spacing w:line="276" w:lineRule="auto" w:after="120"/>
      </w:pPr>
      <w:r>
        <w:rPr>
          <w:sz w:val="19"/>
        </w:rPr>
        <w:t>En los formularios secundarios de la empresa (creación de nuevo establecimiento y registro de solicitud BPM), no existía un botón visible de retorno hacia la pantalla principal de Mi Empresa (/empresa), forzando al usuario a utilizar el botón de retroceso del navegador con riesgo de pérdida de contexto.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2. PASOS PARA LA REPRODUCCIÓN DEL HALLAZGO</w:t>
      </w:r>
    </w:p>
    <w:p>
      <w:pPr>
        <w:spacing w:after="40"/>
        <w:ind w:left="360"/>
      </w:pPr>
      <w:r>
        <w:rPr>
          <w:b/>
          <w:sz w:val="18"/>
        </w:rPr>
        <w:t xml:space="preserve">2.1 </w:t>
      </w:r>
      <w:r>
        <w:rPr>
          <w:sz w:val="18"/>
        </w:rPr>
        <w:t>Acceder a /empresa/establecimientos/nuevo o a /empresa/solicitud/nueva.</w:t>
      </w:r>
    </w:p>
    <w:p>
      <w:pPr>
        <w:spacing w:after="40"/>
        <w:ind w:left="360"/>
      </w:pPr>
      <w:r>
        <w:rPr>
          <w:b/>
          <w:sz w:val="18"/>
        </w:rPr>
        <w:t xml:space="preserve">2.2 </w:t>
      </w:r>
      <w:r>
        <w:rPr>
          <w:sz w:val="18"/>
        </w:rPr>
        <w:t>Observar la cabecera y el pie del formulario.</w:t>
      </w:r>
    </w:p>
    <w:p>
      <w:pPr>
        <w:spacing w:after="40"/>
        <w:ind w:left="360"/>
      </w:pPr>
      <w:r>
        <w:rPr>
          <w:b/>
          <w:sz w:val="18"/>
        </w:rPr>
        <w:t xml:space="preserve">2.3 </w:t>
      </w:r>
      <w:r>
        <w:rPr>
          <w:sz w:val="18"/>
        </w:rPr>
        <w:t>Constatar la ausencia de controles para cancelar o regresar al panel de empresa.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3. COMPORTAMIENTO OBSERVADO Y COMPORTAMIENTO ESPERADO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Observado (Fallo)</w:t>
            </w:r>
          </w:p>
        </w:tc>
        <w:tc>
          <w:tcPr>
            <w:tcW w:type="dxa" w:w="468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Comportamiento Requerido (Correcto)</w:t>
            </w:r>
          </w:p>
        </w:tc>
      </w:tr>
      <w:tr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Ausencia de botones explícitos 'Volver a Mi Empresa'.</w:t>
            </w:r>
          </w:p>
        </w:tc>
        <w:tc>
          <w:tcPr>
            <w:tcW w:type="dxa" w:w="468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76" w:lineRule="auto"/>
            </w:pPr>
            <w:r>
              <w:rPr>
                <w:sz w:val="17"/>
              </w:rPr>
              <w:t>- Botón superior con ícono de retroceso y botón secundario en el pie del formulario.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4. ANÁLISIS TÉCNICO DE CAUSA RAÍZ (RCA)</w:t>
      </w:r>
    </w:p>
    <w:p>
      <w:pPr>
        <w:spacing w:line="276" w:lineRule="auto" w:after="120"/>
      </w:pPr>
      <w:r>
        <w:rPr>
          <w:sz w:val="19"/>
        </w:rPr>
        <w:t>Falta de inclusión de botones de navegación estándar en las barras de acciones secundarias.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5. ACCIÓN CORRECTIVA Y CAMBIOS EN EL CÓDIGO</w:t>
      </w:r>
    </w:p>
    <w:p>
      <w:pPr>
        <w:spacing w:after="60"/>
        <w:ind w:left="360"/>
      </w:pPr>
      <w:r>
        <w:rPr>
          <w:b/>
          <w:sz w:val="18"/>
        </w:rPr>
        <w:t xml:space="preserve">Frontend (FormularioEstablecimiento.tsx): </w:t>
      </w:r>
      <w:r>
        <w:rPr>
          <w:sz w:val="18"/>
        </w:rPr>
        <w:t>Inclusión de botones de navegación superior e inferior dirigidos a /empresa.</w:t>
      </w:r>
    </w:p>
    <w:p>
      <w:pPr>
        <w:spacing w:after="60"/>
        <w:ind w:left="360"/>
      </w:pPr>
      <w:r>
        <w:rPr>
          <w:b/>
          <w:sz w:val="18"/>
        </w:rPr>
        <w:t xml:space="preserve">Frontend (FormularioSolicitud.tsx): </w:t>
      </w:r>
      <w:r>
        <w:rPr>
          <w:sz w:val="18"/>
        </w:rPr>
        <w:t>Inclusión de botones de navegación con redirección segura.</w:t>
      </w:r>
    </w:p>
    <w:p>
      <w:pPr>
        <w:keepNext/>
        <w:spacing w:before="240" w:after="80"/>
      </w:pPr>
      <w:r>
        <w:rPr>
          <w:b/>
          <w:color w:val="141414"/>
          <w:sz w:val="22"/>
        </w:rPr>
        <w:t>6. VERIFICACIÓN Y RESULTADOS DE PRUEBA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4320"/>
        <w:gridCol w:w="3168"/>
        <w:gridCol w:w="1872"/>
      </w:tblGrid>
      <w:tr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Prueba Ejecutada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Comando de Verificación</w:t>
            </w:r>
          </w:p>
        </w:tc>
        <w:tc>
          <w:tcPr>
            <w:tcW w:type="dxa" w:w="3120"/>
            <w:shd w:fill="F3F4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Resultado</w:t>
            </w:r>
          </w:p>
        </w:tc>
      </w:tr>
      <w:tr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sz w:val="17"/>
              </w:rPr>
              <w:t>Pruebas de rutas y componentes 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color w:val="5A5A5A"/>
                <w:sz w:val="16"/>
              </w:rPr>
              <w:t>npm.cmd test -- --run -w apps/web</w:t>
            </w:r>
          </w:p>
        </w:tc>
        <w:tc>
          <w:tcPr>
            <w:tcW w:type="dxa" w:w="312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b/>
                <w:sz w:val="17"/>
              </w:rPr>
              <w:t>Aprobado (160/160)</w:t>
            </w:r>
          </w:p>
        </w:tc>
      </w:tr>
    </w:tbl>
    <w:p>
      <w:pPr>
        <w:keepNext/>
        <w:spacing w:before="240" w:after="80"/>
      </w:pPr>
      <w:r>
        <w:rPr>
          <w:b/>
          <w:color w:val="141414"/>
          <w:sz w:val="22"/>
        </w:rPr>
        <w:t>7. APROBACIÓN Y CONFORMIDAD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Reportado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Corregido por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 (QA Lead)</w:t>
            </w:r>
          </w:p>
        </w:tc>
      </w:tr>
      <w:tr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Pruebas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Desarrollo Backend/Frontend</w:t>
              <w:br/>
              <w:t>Firma: __________________</w:t>
              <w:br/>
              <w:t>Fecha: 13/09/2026</w:t>
            </w:r>
          </w:p>
        </w:tc>
        <w:tc>
          <w:tcPr>
            <w:tcW w:type="dxa" w:w="3110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Aseguramiento de Calidad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