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color w:val="1A2B4C"/>
          <w:sz w:val="36"/>
        </w:rPr>
        <w:t>SYNOPSIS REPORT: AUTOMATED KNEE OSTEOARTHRITIS SEVERITY CLASSIFICATION USING PRE-TRAINED RESNET18 AND ADVANCED NEURO-FUZZY ARCHITECTURES</w:t>
      </w:r>
    </w:p>
    <w:p>
      <w:pPr>
        <w:spacing w:before="0" w:after="360" w:line="288" w:lineRule="auto"/>
        <w:jc w:val="center"/>
      </w:pPr>
      <w:r>
        <w:rPr>
          <w:rFonts w:ascii="Times New Roman" w:hAnsi="Times New Roman"/>
          <w:b/>
          <w:color w:val="46505F"/>
          <w:sz w:val="26"/>
        </w:rPr>
        <w:t>A Comprehensive Comparative Study of Baseline Linear, Takagi-Sugeno, Spherical Fuzzy, and Neutrosophic Fuzzy Decision Heads</w:t>
      </w:r>
    </w:p>
    <w:p>
      <w:pPr>
        <w:spacing w:before="0" w:after="480" w:line="312" w:lineRule="auto"/>
        <w:jc w:val="center"/>
      </w:pPr>
      <w:r>
        <w:rPr>
          <w:rFonts w:ascii="Times New Roman" w:hAnsi="Times New Roman"/>
          <w:b w:val="0"/>
          <w:color w:val="505050"/>
          <w:sz w:val="22"/>
        </w:rPr>
        <w:t>A Synopsis Report Submitted in Partial Fulfillment for the Degree of</w:t>
        <w:br/>
      </w:r>
      <w:r>
        <w:rPr>
          <w:rFonts w:ascii="Times New Roman" w:hAnsi="Times New Roman"/>
          <w:b/>
          <w:color w:val="1A2B4C"/>
          <w:sz w:val="22"/>
        </w:rPr>
        <w:t>BACHELOR OF TECHNOLOGY / MASTER OF TECHNOLOGY</w:t>
        <w:br/>
      </w:r>
      <w:r>
        <w:rPr>
          <w:rFonts w:ascii="Times New Roman" w:hAnsi="Times New Roman"/>
          <w:b/>
          <w:color w:val="1A2B4C"/>
          <w:sz w:val="21"/>
        </w:rPr>
        <w:t>IN COMPUTER SCIENCE AND ENGINEERING / ARTIFICIAL INTELLIGENCE</w:t>
        <w:br/>
        <w:br/>
      </w:r>
      <w:r>
        <w:rPr>
          <w:rFonts w:ascii="Times New Roman" w:hAnsi="Times New Roman"/>
          <w:b/>
          <w:color w:val="000000"/>
          <w:sz w:val="22"/>
        </w:rPr>
        <w:t>Prepared By:</w:t>
        <w:br/>
      </w:r>
      <w:r>
        <w:rPr>
          <w:rFonts w:ascii="Times New Roman" w:hAnsi="Times New Roman"/>
          <w:b w:val="0"/>
          <w:color w:val="000000"/>
          <w:sz w:val="22"/>
        </w:rPr>
        <w:t>Bernard Adhitya Kurniawan  |  Student ID: 2026-CS-8942</w:t>
        <w:br/>
      </w:r>
      <w:r>
        <w:rPr>
          <w:rFonts w:ascii="Times New Roman" w:hAnsi="Times New Roman"/>
          <w:b w:val="0"/>
          <w:color w:val="000000"/>
          <w:sz w:val="22"/>
        </w:rPr>
        <w:t>Under the Supervision of: Dr. Academic Supervisor</w:t>
        <w:br/>
      </w:r>
      <w:r>
        <w:rPr>
          <w:rFonts w:ascii="Times New Roman" w:hAnsi="Times New Roman"/>
          <w:b w:val="0"/>
          <w:color w:val="505050"/>
          <w:sz w:val="22"/>
        </w:rPr>
        <w:t>Department of Computer Science &amp; Engineering</w:t>
        <w:br/>
      </w:r>
      <w:r>
        <w:rPr>
          <w:rFonts w:ascii="Times New Roman" w:hAnsi="Times New Roman"/>
          <w:b w:val="0"/>
          <w:color w:val="646464"/>
          <w:sz w:val="21"/>
        </w:rPr>
        <w:t>Academic Session 2025–2026</w:t>
      </w:r>
    </w:p>
    <w:p>
      <w:pPr>
        <w:keepNext/>
        <w:spacing w:before="280" w:after="120" w:line="276" w:lineRule="auto"/>
      </w:pPr>
      <w:r>
        <w:rPr>
          <w:rFonts w:ascii="Times New Roman" w:hAnsi="Times New Roman"/>
          <w:b/>
          <w:color w:val="1A2B4C"/>
          <w:sz w:val="28"/>
        </w:rPr>
        <w:t>ABSTRACT</w:t>
      </w:r>
    </w:p>
    <w:p>
      <w:pPr>
        <w:spacing w:line="360" w:lineRule="auto" w:after="120"/>
        <w:jc w:val="both"/>
      </w:pPr>
      <w:r>
        <w:rPr>
          <w:rFonts w:ascii="Times New Roman" w:hAnsi="Times New Roman"/>
          <w:sz w:val="24"/>
        </w:rPr>
        <w:t>Knee Osteoarthritis (KOA) is a highly prevalent degenerative joint disease characterized by progressive articular cartilage loss, subchondral bone sclerosis, and osteophyte formation. Accurate assessment of KOA severity from radiographic X-ray images using the Kellgren-Lawrence (KL) grading system (Grades 0 to 4) is paramount for early clinical intervention and treatment planning. However, manual KL grading suffers from significant inter- and intra-observer variability due to subtle joint space narrowing (JSN) and continuous disease progression. Standard deep convolutional neural networks (CNNs) backed by Softmax classification layers often output rigid, overconfident probability distributions that fail to quantify feature-level uncertainty, imaging noise, or borderline clinical hesitation. To overcome these limitations, this project presents an end-to-end deep neuro-fuzzy framework for Knee Osteoarthritis severity classification. The architecture integrates a pre-trained ResNet18 feature extraction backbone with four interchangeable classification heads: (1) a Baseline Linear Layer, (2) a Takagi-Sugeno Fuzzy Classifier, (3) a Spherical Fuzzy Classifier enforcing membership, non-membership, and hesitation bounds on a 3D unit sphere, and (4) a Neutrosophic Fuzzy Classifier decoupling Truth, Indeterminacy, and Falsity. Empirical evaluation on the Kaggle / OAI dataset demonstrates that neuro-fuzzy heads—particularly Spherical and Neutrosophic classifiers—significantly enhance classification precision, provide explicit uncertainty bounds, and achieve superior robustness on ambiguous, borderline radiographic images.</w:t>
      </w:r>
    </w:p>
    <w:p>
      <w:pPr>
        <w:keepNext/>
        <w:spacing w:before="280" w:after="120" w:line="276" w:lineRule="auto"/>
      </w:pPr>
      <w:r>
        <w:rPr>
          <w:rFonts w:ascii="Times New Roman" w:hAnsi="Times New Roman"/>
          <w:b/>
          <w:color w:val="1A2B4C"/>
          <w:sz w:val="28"/>
        </w:rPr>
        <w:t>1. INTRODUCTION &amp; BACKGROUND</w:t>
      </w:r>
    </w:p>
    <w:p>
      <w:pPr>
        <w:spacing w:line="360" w:lineRule="auto" w:after="120"/>
        <w:jc w:val="both"/>
      </w:pPr>
      <w:r>
        <w:rPr>
          <w:rFonts w:ascii="Times New Roman" w:hAnsi="Times New Roman"/>
          <w:sz w:val="24"/>
        </w:rPr>
        <w:t>Knee Osteoarthritis (KOA) represents one of the leading causes of physical disability and chronic joint pain globally, affecting over 500 million individuals worldwide. Clinical management of KOA relies heavily on weight-bearing anteroposterior radiographic X-ray imaging evaluated against the standardized Kellgren-Lawrence (KL) grading scale established by the World Health Organization. The KL grading system categorizes joint degeneration into five discrete severity levels:</w:t>
      </w:r>
    </w:p>
    <w:p>
      <w:pPr>
        <w:pStyle w:val="ListBullet"/>
        <w:spacing w:line="360" w:lineRule="auto" w:after="80"/>
        <w:jc w:val="both"/>
      </w:pPr>
      <w:r>
        <w:rPr>
          <w:rFonts w:ascii="Times New Roman" w:hAnsi="Times New Roman"/>
          <w:b/>
          <w:sz w:val="24"/>
        </w:rPr>
        <w:t xml:space="preserve">Grade 0 (Normal): </w:t>
      </w:r>
      <w:r>
        <w:rPr>
          <w:rFonts w:ascii="Times New Roman" w:hAnsi="Times New Roman"/>
          <w:sz w:val="24"/>
        </w:rPr>
        <w:t>Absence of radiographic features of osteoarthritis; healthy joint space margin.</w:t>
      </w:r>
    </w:p>
    <w:p>
      <w:pPr>
        <w:pStyle w:val="ListBullet"/>
        <w:spacing w:line="360" w:lineRule="auto" w:after="80"/>
        <w:jc w:val="both"/>
      </w:pPr>
      <w:r>
        <w:rPr>
          <w:rFonts w:ascii="Times New Roman" w:hAnsi="Times New Roman"/>
          <w:b/>
          <w:sz w:val="24"/>
        </w:rPr>
        <w:t xml:space="preserve">Grade 1 (Doubtful): </w:t>
      </w:r>
      <w:r>
        <w:rPr>
          <w:rFonts w:ascii="Times New Roman" w:hAnsi="Times New Roman"/>
          <w:sz w:val="24"/>
        </w:rPr>
        <w:t>Doubtful joint space narrowing (JSN) and possible minute osteophytic lipping.</w:t>
      </w:r>
    </w:p>
    <w:p>
      <w:pPr>
        <w:pStyle w:val="ListBullet"/>
        <w:spacing w:line="360" w:lineRule="auto" w:after="80"/>
        <w:jc w:val="both"/>
      </w:pPr>
      <w:r>
        <w:rPr>
          <w:rFonts w:ascii="Times New Roman" w:hAnsi="Times New Roman"/>
          <w:b/>
          <w:sz w:val="24"/>
        </w:rPr>
        <w:t xml:space="preserve">Grade 2 (Minimal): </w:t>
      </w:r>
      <w:r>
        <w:rPr>
          <w:rFonts w:ascii="Times New Roman" w:hAnsi="Times New Roman"/>
          <w:sz w:val="24"/>
        </w:rPr>
        <w:t>Definite presence of osteophytes with unimpaired or minimal joint space narrowing.</w:t>
      </w:r>
    </w:p>
    <w:p>
      <w:pPr>
        <w:pStyle w:val="ListBullet"/>
        <w:spacing w:line="360" w:lineRule="auto" w:after="80"/>
        <w:jc w:val="both"/>
      </w:pPr>
      <w:r>
        <w:rPr>
          <w:rFonts w:ascii="Times New Roman" w:hAnsi="Times New Roman"/>
          <w:b/>
          <w:sz w:val="24"/>
        </w:rPr>
        <w:t xml:space="preserve">Grade 3 (Moderate): </w:t>
      </w:r>
      <w:r>
        <w:rPr>
          <w:rFonts w:ascii="Times New Roman" w:hAnsi="Times New Roman"/>
          <w:sz w:val="24"/>
        </w:rPr>
        <w:t>Moderate multiple osteophytes, definite joint space narrowing, and mild subchondral sclerosis.</w:t>
      </w:r>
    </w:p>
    <w:p>
      <w:pPr>
        <w:pStyle w:val="ListBullet"/>
        <w:spacing w:line="360" w:lineRule="auto" w:after="80"/>
        <w:jc w:val="both"/>
      </w:pPr>
      <w:r>
        <w:rPr>
          <w:rFonts w:ascii="Times New Roman" w:hAnsi="Times New Roman"/>
          <w:b/>
          <w:sz w:val="24"/>
        </w:rPr>
        <w:t xml:space="preserve">Grade 4 (Severe): </w:t>
      </w:r>
      <w:r>
        <w:rPr>
          <w:rFonts w:ascii="Times New Roman" w:hAnsi="Times New Roman"/>
          <w:sz w:val="24"/>
        </w:rPr>
        <w:t>Severe joint space narrowing with bone-on-bone contact, marked subchondral sclerosis, and large osteophytes.</w:t>
      </w:r>
    </w:p>
    <w:p>
      <w:pPr>
        <w:spacing w:line="360" w:lineRule="auto" w:after="120"/>
        <w:jc w:val="both"/>
      </w:pPr>
      <w:r>
        <w:rPr>
          <w:rFonts w:ascii="Times New Roman" w:hAnsi="Times New Roman"/>
          <w:sz w:val="24"/>
        </w:rPr>
        <w:t>Despite its widespread adoption, conventional clinical KL evaluation is subject to notable limitations. Radiographic interpretation is inherently qualitative, resulting in intra-observer and inter-observer disagreement rates ranging between 20% and 35%. Furthermore, biological joint degeneration occurs along a continuous anatomical continuum, whereas the KL scale enforces discrete boundaries. Consequently, distinguishing borderline cases—such as transitioning from Grade 1 (Doubtful) to Grade 2 (Minimal)—poses significant diagnostic challenges.</w:t>
      </w:r>
    </w:p>
    <w:p>
      <w:pPr>
        <w:spacing w:line="360" w:lineRule="auto" w:after="120"/>
        <w:jc w:val="both"/>
      </w:pPr>
      <w:r>
        <w:rPr>
          <w:rFonts w:ascii="Times New Roman" w:hAnsi="Times New Roman"/>
          <w:sz w:val="24"/>
        </w:rPr>
        <w:t>While modern deep learning architectures (e.g., ResNet, DenseNet, EfficientNet) have demonstrated impressive benchmark performance in medical image processing, standard deep models exhibit critical vulnerabilities when deployed in clinical workflows. Conventional deep neural networks map high-dimensional visual feature vectors directly to discrete class logits via fully connected linear hyperplanes and Softmax activation. Softmax output vectors represent point probabilities that reflect relative normalized confidence rather than genuine model certainty. When presented with poor-contrast X-rays, positioning artifacts, or ambiguous joint space margins, standard CNNs tend to output overconfident misclassifications without signaling diagnostic doubt. Incorporating fuzzy set theory and multi-criteria fuzzy inference into deep neural backbones offers a compelling mathematical foundation to capture continuous transition states, model clinical hesitation, and decouple image noise from diagnostic evidence.</w:t>
      </w:r>
    </w:p>
    <w:p>
      <w:pPr>
        <w:keepNext/>
        <w:spacing w:before="280" w:after="120" w:line="276" w:lineRule="auto"/>
      </w:pPr>
      <w:r>
        <w:rPr>
          <w:rFonts w:ascii="Times New Roman" w:hAnsi="Times New Roman"/>
          <w:b/>
          <w:color w:val="1A2B4C"/>
          <w:sz w:val="28"/>
        </w:rPr>
        <w:t>2. LITERATURE REVIEW &amp; RELATED WORK</w:t>
      </w:r>
    </w:p>
    <w:p>
      <w:pPr>
        <w:spacing w:line="360" w:lineRule="auto" w:after="120"/>
        <w:jc w:val="both"/>
      </w:pPr>
      <w:r>
        <w:rPr>
          <w:rFonts w:ascii="Times New Roman" w:hAnsi="Times New Roman"/>
          <w:sz w:val="24"/>
        </w:rPr>
        <w:t>Automated assessment of knee osteoarthritis has evolved rapidly from classical hand-crafted texture analysis (e.g., Local Binary Patterns, GLCM) to end-to-end deep learning. Antony et al. [6] pioneered the application of convolutional neural networks for joint detection and KL grading, demonstrating that pre-trained CNN backbones fine-tuned on knee radiographs outpaced traditional machine learning classifiers. Tiulpin et al. [9] developed a multi-task Siamese Convolutional Neural Network that incorporated joint region extraction and ordinal loss formulations, yielding state-of-the-art diagnostic accuracy on the Osteoarthritis Initiative (OAI) dataset. Subsequent studies by Chen et al. [8] explored deeper architectures such as ResNet-50 and DenseNet-121, highlighting the importance of deep feature representations.</w:t>
      </w:r>
    </w:p>
    <w:p>
      <w:pPr>
        <w:spacing w:line="360" w:lineRule="auto" w:after="120"/>
        <w:jc w:val="both"/>
      </w:pPr>
      <w:r>
        <w:rPr>
          <w:rFonts w:ascii="Times New Roman" w:hAnsi="Times New Roman"/>
          <w:sz w:val="24"/>
        </w:rPr>
        <w:t>Parallel research in computational intelligence has highlighted the efficacy of Fuzzy Logic Systems (FLS) in medical diagnostic decision support. Introduced by Zadeh [7], fuzzy logic provides a mathematical apparatus for handling imprecise and qualitative concepts. Takagi and Sugeno [3] formulated the Takagi-Sugeno-Kang (TSK) fuzzy inference model, which utilizes IF-THEN rules with Gaussian membership antecedents and linear consequent functions. TSK fuzzy systems have been successfully coupled with neural networks to form Adaptive Neuro-Fuzzy Inference Systems (ANFIS), offering interpretable rule centers that serve as visual prototypes for disease stages.</w:t>
      </w:r>
    </w:p>
    <w:p>
      <w:pPr>
        <w:spacing w:line="360" w:lineRule="auto" w:after="120"/>
        <w:jc w:val="both"/>
      </w:pPr>
      <w:r>
        <w:rPr>
          <w:rFonts w:ascii="Times New Roman" w:hAnsi="Times New Roman"/>
          <w:sz w:val="24"/>
        </w:rPr>
        <w:t>To handle complex, multi-dimensional uncertainty that traditional fuzzy sets cannot model, advanced non-standard fuzzy theories have emerged:</w:t>
      </w:r>
    </w:p>
    <w:p>
      <w:pPr>
        <w:pStyle w:val="ListBullet"/>
        <w:spacing w:line="360" w:lineRule="auto" w:after="80"/>
        <w:jc w:val="both"/>
      </w:pPr>
      <w:r>
        <w:rPr>
          <w:rFonts w:ascii="Times New Roman" w:hAnsi="Times New Roman"/>
          <w:b/>
          <w:sz w:val="24"/>
        </w:rPr>
        <w:t xml:space="preserve">Spherical Fuzzy Sets (SFS): </w:t>
      </w:r>
      <w:r>
        <w:rPr>
          <w:rFonts w:ascii="Times New Roman" w:hAnsi="Times New Roman"/>
          <w:sz w:val="24"/>
        </w:rPr>
        <w:t>Proposed by Kutlu Gündoğdu and Kahraman [5], SFS parameterizes human hesitation by defining independent Membership (μ), Non-membership (ν), and Hesitation (π) degrees bounded on a 3D unit sphere: μ² + ν² + π² ≤ 1. In medical radiology, hesitation π explicitly quantifies clinical doubt arising from subtle osteophytes or borderline joint space narrowing.</w:t>
      </w:r>
    </w:p>
    <w:p>
      <w:pPr>
        <w:pStyle w:val="ListBullet"/>
        <w:spacing w:line="360" w:lineRule="auto" w:after="80"/>
        <w:jc w:val="both"/>
      </w:pPr>
      <w:r>
        <w:rPr>
          <w:rFonts w:ascii="Times New Roman" w:hAnsi="Times New Roman"/>
          <w:b/>
          <w:sz w:val="24"/>
        </w:rPr>
        <w:t xml:space="preserve">Neutrosophic Logic (NS): </w:t>
      </w:r>
      <w:r>
        <w:rPr>
          <w:rFonts w:ascii="Times New Roman" w:hAnsi="Times New Roman"/>
          <w:sz w:val="24"/>
        </w:rPr>
        <w:t>Formulated by Smarandache [4], Neutrosophic logic generalizes intuitionistic fuzzy logic by decoupling decision variables into three independent dimensions: Truth (T), Indeterminacy (I), and Falsity (F), where 0 ≤ T + I + F ≤ 3. By treating Indeterminacy (I) as an independent channel rather than a simple residual (1 - T - F), Neutrosophic logic can isolate radiographic contrast noise, soft tissue blur, and patient positioning artifacts from positive pathological evidence.</w:t>
      </w:r>
    </w:p>
    <w:p>
      <w:pPr>
        <w:spacing w:line="360" w:lineRule="auto" w:after="120"/>
        <w:jc w:val="both"/>
      </w:pPr>
      <w:r>
        <w:rPr>
          <w:rFonts w:ascii="Times New Roman" w:hAnsi="Times New Roman"/>
          <w:sz w:val="24"/>
        </w:rPr>
        <w:t>Despite these theoretical advancements, existing literature lacks a unified, comparative neuro-fuzzy framework that directly integrates pre-trained deep feature extractors with TSK, Spherical Fuzzy, and Neutrosophic classification heads under identical operational conditions. This study addresses this research gap by engineering a modular, end-to-end neuro-fuzzy pipeline for KOA severity assessment.</w:t>
      </w:r>
    </w:p>
    <w:p>
      <w:pPr>
        <w:keepNext/>
        <w:spacing w:before="280" w:after="120" w:line="276" w:lineRule="auto"/>
      </w:pPr>
      <w:r>
        <w:rPr>
          <w:rFonts w:ascii="Times New Roman" w:hAnsi="Times New Roman"/>
          <w:b/>
          <w:color w:val="1A2B4C"/>
          <w:sz w:val="28"/>
        </w:rPr>
        <w:t>3. PROBLEM STATEMENT &amp; RESEARCH OBJECTIVES</w:t>
      </w:r>
    </w:p>
    <w:p>
      <w:pPr>
        <w:spacing w:line="360" w:lineRule="auto" w:after="120"/>
        <w:jc w:val="both"/>
      </w:pPr>
      <w:r>
        <w:rPr>
          <w:rFonts w:ascii="Times New Roman" w:hAnsi="Times New Roman"/>
          <w:sz w:val="24"/>
        </w:rPr>
        <w:t>Traditional deep learning models for Knee Osteoarthritis severity grading rely on rigid hyperplanes that struggle with the continuous progression of joint degeneration and image noise. Standard Softmax confidence metrics fail to distinguish between well-defined clinical features and ambiguous radiographies, creating risks in automated clinical screening. To resolve these challenges, this project targets the following core research objectives:</w:t>
      </w:r>
    </w:p>
    <w:p>
      <w:pPr>
        <w:pStyle w:val="ListBullet"/>
        <w:spacing w:line="360" w:lineRule="auto" w:after="80"/>
        <w:jc w:val="both"/>
      </w:pPr>
      <w:r>
        <w:rPr>
          <w:rFonts w:ascii="Times New Roman" w:hAnsi="Times New Roman"/>
          <w:b/>
          <w:sz w:val="24"/>
        </w:rPr>
        <w:t xml:space="preserve">1. End-to-End Pipeline Engineering: </w:t>
      </w:r>
      <w:r>
        <w:rPr>
          <w:rFonts w:ascii="Times New Roman" w:hAnsi="Times New Roman"/>
          <w:sz w:val="24"/>
        </w:rPr>
        <w:t>Develop a fully automated PyTorch pipeline capable of ingesting raw radiographic X-ray images, applying stratified dataset splitting, performing robust data augmentations, and executing GPU-accelerated deep feature extraction.</w:t>
      </w:r>
    </w:p>
    <w:p>
      <w:pPr>
        <w:pStyle w:val="ListBullet"/>
        <w:spacing w:line="360" w:lineRule="auto" w:after="80"/>
        <w:jc w:val="both"/>
      </w:pPr>
      <w:r>
        <w:rPr>
          <w:rFonts w:ascii="Times New Roman" w:hAnsi="Times New Roman"/>
          <w:b/>
          <w:sz w:val="24"/>
        </w:rPr>
        <w:t xml:space="preserve">2. Deep Feature Backbone Integration: </w:t>
      </w:r>
      <w:r>
        <w:rPr>
          <w:rFonts w:ascii="Times New Roman" w:hAnsi="Times New Roman"/>
          <w:sz w:val="24"/>
        </w:rPr>
        <w:t>Utilize a pre-trained ResNet18 convolutional neural network backbone to extract 512-dimensional deep visual embeddings capturing fine-grained articular structures, osteophytic lipping, and joint space geometry.</w:t>
      </w:r>
    </w:p>
    <w:p>
      <w:pPr>
        <w:pStyle w:val="ListBullet"/>
        <w:spacing w:line="360" w:lineRule="auto" w:after="80"/>
        <w:jc w:val="both"/>
      </w:pPr>
      <w:r>
        <w:rPr>
          <w:rFonts w:ascii="Times New Roman" w:hAnsi="Times New Roman"/>
          <w:b/>
          <w:sz w:val="24"/>
        </w:rPr>
        <w:t xml:space="preserve">3. Formulation of Interchangeable Classification Heads: </w:t>
      </w:r>
      <w:r>
        <w:rPr>
          <w:rFonts w:ascii="Times New Roman" w:hAnsi="Times New Roman"/>
          <w:sz w:val="24"/>
        </w:rPr>
        <w:t>Formulate, implement, and mathematically parameterize four interchangeable classification heads: (a) Baseline Linear Layer, (b) Takagi-Sugeno Fuzzy Head, (c) 3D Spherical Fuzzy Head, and (d) Neutrosophic Fuzzy Head.</w:t>
      </w:r>
    </w:p>
    <w:p>
      <w:pPr>
        <w:pStyle w:val="ListBullet"/>
        <w:spacing w:line="360" w:lineRule="auto" w:after="80"/>
        <w:jc w:val="both"/>
      </w:pPr>
      <w:r>
        <w:rPr>
          <w:rFonts w:ascii="Times New Roman" w:hAnsi="Times New Roman"/>
          <w:b/>
          <w:sz w:val="24"/>
        </w:rPr>
        <w:t xml:space="preserve">4. Empirical Benchmarking &amp; Comparative Evaluation: </w:t>
      </w:r>
      <w:r>
        <w:rPr>
          <w:rFonts w:ascii="Times New Roman" w:hAnsi="Times New Roman"/>
          <w:sz w:val="24"/>
        </w:rPr>
        <w:t>Conduct extensive experimental benchmarking on the Kaggle / OAI dataset across standard multi-class metrics (Accuracy, Macro/Weighted Precision, Recall, F1-Score, and OVR ROC-AUC) to evaluate diagnostic accuracy and uncertainty modeling capabilities.</w:t>
      </w:r>
    </w:p>
    <w:p>
      <w:pPr>
        <w:keepNext/>
        <w:spacing w:before="280" w:after="120" w:line="276" w:lineRule="auto"/>
      </w:pPr>
      <w:r>
        <w:rPr>
          <w:rFonts w:ascii="Times New Roman" w:hAnsi="Times New Roman"/>
          <w:b/>
          <w:color w:val="1A2B4C"/>
          <w:sz w:val="28"/>
        </w:rPr>
        <w:t>4. PROPOSED NEURO-FUZZY FRAMEWORK ARCHITECTURE &amp; METHODOLOGY</w:t>
      </w:r>
    </w:p>
    <w:p>
      <w:pPr>
        <w:spacing w:line="360" w:lineRule="auto" w:after="120"/>
        <w:jc w:val="both"/>
      </w:pPr>
      <w:r>
        <w:rPr>
          <w:rFonts w:ascii="Times New Roman" w:hAnsi="Times New Roman"/>
          <w:sz w:val="24"/>
        </w:rPr>
        <w:t>The overall workflow of the proposed end-to-end neuro-fuzzy pipeline is structured into four sequential modules: Data Ingestion &amp; Preprocessing, Deep Feature Backbone Extraction, Interchangeable Neuro-Fuzzy Classification, and Model Optimization &amp; Evaluation.</w:t>
      </w:r>
    </w:p>
    <w:p>
      <w:pPr>
        <w:keepNext/>
        <w:spacing w:before="200" w:after="80" w:line="276" w:lineRule="auto"/>
      </w:pPr>
      <w:r>
        <w:rPr>
          <w:rFonts w:ascii="Times New Roman" w:hAnsi="Times New Roman"/>
          <w:b/>
          <w:color w:val="283C5A"/>
          <w:sz w:val="25"/>
        </w:rPr>
        <w:t>4.1 Dataset Description &amp; Augmentation Pipeline</w:t>
      </w:r>
    </w:p>
    <w:p>
      <w:pPr>
        <w:spacing w:line="360" w:lineRule="auto" w:after="120"/>
        <w:jc w:val="both"/>
      </w:pPr>
      <w:r>
        <w:rPr>
          <w:rFonts w:ascii="Times New Roman" w:hAnsi="Times New Roman"/>
          <w:sz w:val="24"/>
        </w:rPr>
        <w:t>The experimental dataset comprises weight-bearing knee radiographic images categorized into the five standard Kellgren-Lawrence severity grades (KL 0 to KL 4). The raw dataset is loaded via structured file parsing into Pandas DataFrames and split into Stratified Training, Validation, and Testing subsets to strictly preserve class distribution proportions across splits.</w:t>
      </w:r>
    </w:p>
    <w:p>
      <w:pPr>
        <w:spacing w:line="360" w:lineRule="auto" w:after="120"/>
        <w:jc w:val="both"/>
      </w:pPr>
      <w:r>
        <w:rPr>
          <w:rFonts w:ascii="Times New Roman" w:hAnsi="Times New Roman"/>
          <w:sz w:val="24"/>
        </w:rPr>
        <w:t>To enhance spatial and contrast invariance, training images undergo dynamic data transformations:</w:t>
      </w:r>
    </w:p>
    <w:p>
      <w:pPr>
        <w:pStyle w:val="ListBullet"/>
        <w:spacing w:line="360" w:lineRule="auto" w:after="80"/>
        <w:jc w:val="both"/>
      </w:pPr>
      <w:r>
        <w:rPr>
          <w:rFonts w:ascii="Times New Roman" w:hAnsi="Times New Roman"/>
          <w:b/>
          <w:sz w:val="24"/>
        </w:rPr>
        <w:t xml:space="preserve">Spatial Resizing: </w:t>
      </w:r>
      <w:r>
        <w:rPr>
          <w:rFonts w:ascii="Times New Roman" w:hAnsi="Times New Roman"/>
          <w:sz w:val="24"/>
        </w:rPr>
        <w:t>Images are resized to 224 × 224 pixels to match the input spatial dimensions required by the ResNet backbone.</w:t>
      </w:r>
    </w:p>
    <w:p>
      <w:pPr>
        <w:pStyle w:val="ListBullet"/>
        <w:spacing w:line="360" w:lineRule="auto" w:after="80"/>
        <w:jc w:val="both"/>
      </w:pPr>
      <w:r>
        <w:rPr>
          <w:rFonts w:ascii="Times New Roman" w:hAnsi="Times New Roman"/>
          <w:b/>
          <w:sz w:val="24"/>
        </w:rPr>
        <w:t xml:space="preserve">Random Horizontal Flip: </w:t>
      </w:r>
      <w:r>
        <w:rPr>
          <w:rFonts w:ascii="Times New Roman" w:hAnsi="Times New Roman"/>
          <w:sz w:val="24"/>
        </w:rPr>
        <w:t>Applied with p = 0.5 to model bilateral anatomical symmetry (left vs. right knees).</w:t>
      </w:r>
    </w:p>
    <w:p>
      <w:pPr>
        <w:pStyle w:val="ListBullet"/>
        <w:spacing w:line="360" w:lineRule="auto" w:after="80"/>
        <w:jc w:val="both"/>
      </w:pPr>
      <w:r>
        <w:rPr>
          <w:rFonts w:ascii="Times New Roman" w:hAnsi="Times New Roman"/>
          <w:b/>
          <w:sz w:val="24"/>
        </w:rPr>
        <w:t xml:space="preserve">Random Rotation: </w:t>
      </w:r>
      <w:r>
        <w:rPr>
          <w:rFonts w:ascii="Times New Roman" w:hAnsi="Times New Roman"/>
          <w:sz w:val="24"/>
        </w:rPr>
        <w:t>Rotations up to ±10 degrees to account for slight patient limb positioning variations during X-ray acquisition.</w:t>
      </w:r>
    </w:p>
    <w:p>
      <w:pPr>
        <w:pStyle w:val="ListBullet"/>
        <w:spacing w:line="360" w:lineRule="auto" w:after="80"/>
        <w:jc w:val="both"/>
      </w:pPr>
      <w:r>
        <w:rPr>
          <w:rFonts w:ascii="Times New Roman" w:hAnsi="Times New Roman"/>
          <w:b/>
          <w:sz w:val="24"/>
        </w:rPr>
        <w:t xml:space="preserve">Color Jitter: </w:t>
      </w:r>
      <w:r>
        <w:rPr>
          <w:rFonts w:ascii="Times New Roman" w:hAnsi="Times New Roman"/>
          <w:sz w:val="24"/>
        </w:rPr>
        <w:t>Brightness and contrast variations (±10%) to simulate X-ray tube exposure differences across imaging centers.</w:t>
      </w:r>
    </w:p>
    <w:p>
      <w:pPr>
        <w:pStyle w:val="ListBullet"/>
        <w:spacing w:line="360" w:lineRule="auto" w:after="80"/>
        <w:jc w:val="both"/>
      </w:pPr>
      <w:r>
        <w:rPr>
          <w:rFonts w:ascii="Times New Roman" w:hAnsi="Times New Roman"/>
          <w:b/>
          <w:sz w:val="24"/>
        </w:rPr>
        <w:t xml:space="preserve">Normalization: </w:t>
      </w:r>
      <w:r>
        <w:rPr>
          <w:rFonts w:ascii="Times New Roman" w:hAnsi="Times New Roman"/>
          <w:sz w:val="24"/>
        </w:rPr>
        <w:t>Conversion to PyTorch Tensors followed by ImageNet mean [0.485, 0.456, 0.406] and standard deviation [0.229, 0.224, 0.225] normalization.</w:t>
      </w:r>
    </w:p>
    <w:p>
      <w:pPr>
        <w:keepNext/>
        <w:spacing w:before="200" w:after="80" w:line="276" w:lineRule="auto"/>
      </w:pPr>
      <w:r>
        <w:rPr>
          <w:rFonts w:ascii="Times New Roman" w:hAnsi="Times New Roman"/>
          <w:b/>
          <w:color w:val="283C5A"/>
          <w:sz w:val="25"/>
        </w:rPr>
        <w:t>4.2 Deep Feature Extraction Backbone (ResNet18)</w:t>
      </w:r>
    </w:p>
    <w:p>
      <w:pPr>
        <w:spacing w:line="360" w:lineRule="auto" w:after="120"/>
        <w:jc w:val="both"/>
      </w:pPr>
      <w:r>
        <w:rPr>
          <w:rFonts w:ascii="Times New Roman" w:hAnsi="Times New Roman"/>
          <w:sz w:val="24"/>
        </w:rPr>
        <w:t>Feature extraction is powered by a pre-trained ResNet18 deep convolutional architecture. ResNet18 employs residual learning blocks with skip connections that alleviate gradient vanishing, enabling robust feature learning. The input image tensor X ∈ R^(B × 3 × 224 × 224) passes through five convolutional stages culminating in a Global Average Pooling (GAP) layer. The default fully connected classification head (model.fc) is removed, yielding a condensed 512-dimensional deep visual feature embedding x ∈ R^512 per image.</w:t>
      </w:r>
    </w:p>
    <w:p>
      <w:pPr>
        <w:keepNext/>
        <w:spacing w:before="200" w:after="80" w:line="276" w:lineRule="auto"/>
      </w:pPr>
      <w:r>
        <w:rPr>
          <w:rFonts w:ascii="Times New Roman" w:hAnsi="Times New Roman"/>
          <w:b/>
          <w:color w:val="283C5A"/>
          <w:sz w:val="25"/>
        </w:rPr>
        <w:t>4.3 Mathematical Breakdown of Classification Heads</w:t>
      </w:r>
    </w:p>
    <w:p>
      <w:pPr>
        <w:spacing w:line="360" w:lineRule="auto" w:after="120"/>
        <w:jc w:val="both"/>
      </w:pPr>
      <w:r>
        <w:rPr>
          <w:rFonts w:ascii="Times New Roman" w:hAnsi="Times New Roman"/>
          <w:sz w:val="24"/>
        </w:rPr>
        <w:t>The 512-dimensional feature embedding x is passed directly into one of four user-selectable classification heads:</w:t>
      </w:r>
    </w:p>
    <w:p>
      <w:pPr>
        <w:keepNext/>
        <w:spacing w:before="200" w:after="80" w:line="276" w:lineRule="auto"/>
      </w:pPr>
      <w:r>
        <w:rPr>
          <w:rFonts w:ascii="Times New Roman" w:hAnsi="Times New Roman"/>
          <w:b/>
          <w:color w:val="283C5A"/>
          <w:sz w:val="25"/>
        </w:rPr>
        <w:t>Option A: Baseline Linear Head (nn.Linear)</w:t>
      </w:r>
    </w:p>
    <w:p>
      <w:pPr>
        <w:spacing w:line="360" w:lineRule="auto" w:after="120"/>
        <w:jc w:val="both"/>
      </w:pPr>
      <w:r>
        <w:rPr>
          <w:rFonts w:ascii="Times New Roman" w:hAnsi="Times New Roman"/>
          <w:sz w:val="24"/>
        </w:rPr>
        <w:t>The baseline model applies a standard affine linear transformation mapping the 512-dimensional feature space directly to 5 output class logits:</w:t>
      </w:r>
    </w:p>
    <w:p>
      <w:pPr>
        <w:spacing w:before="120" w:after="120" w:line="288" w:lineRule="auto"/>
        <w:jc w:val="center"/>
      </w:pPr>
      <w:r>
        <w:rPr>
          <w:rFonts w:ascii="Times New Roman" w:hAnsi="Times New Roman"/>
          <w:i/>
          <w:color w:val="141414"/>
          <w:sz w:val="22"/>
        </w:rPr>
        <w:t>y = W · x + b,   where W ∈ R^(5 × 512),  b ∈ R^5</w:t>
      </w:r>
    </w:p>
    <w:p>
      <w:pPr>
        <w:spacing w:line="360" w:lineRule="auto" w:after="120"/>
        <w:jc w:val="both"/>
      </w:pPr>
      <w:r>
        <w:rPr>
          <w:rFonts w:ascii="Times New Roman" w:hAnsi="Times New Roman"/>
          <w:sz w:val="24"/>
        </w:rPr>
        <w:t>Class probabilities are derived via standard Softmax normalization. While computationally efficient, this hyperplane assumes sharp linear margins between continuous KL grades.</w:t>
      </w:r>
    </w:p>
    <w:p>
      <w:pPr>
        <w:keepNext/>
        <w:spacing w:before="200" w:after="80" w:line="276" w:lineRule="auto"/>
      </w:pPr>
      <w:r>
        <w:rPr>
          <w:rFonts w:ascii="Times New Roman" w:hAnsi="Times New Roman"/>
          <w:b/>
          <w:color w:val="283C5A"/>
          <w:sz w:val="25"/>
        </w:rPr>
        <w:t>Option B: Takagi-Sugeno Fuzzy Classifier (TakagiSugenoFuzzyLayer)</w:t>
      </w:r>
    </w:p>
    <w:p>
      <w:pPr>
        <w:spacing w:line="360" w:lineRule="auto" w:after="120"/>
        <w:jc w:val="both"/>
      </w:pPr>
      <w:r>
        <w:rPr>
          <w:rFonts w:ascii="Times New Roman" w:hAnsi="Times New Roman"/>
          <w:sz w:val="24"/>
        </w:rPr>
        <w:t>The Takagi-Sugeno fuzzy head establishes R trainable fuzzy IF-THEN rules (prototypes). Each rule center c_(r,d) represents a prototypical feature cluster in 512-dimensional space. The membership degree μ_(r,d)(x_d) of input feature x_d to rule r is modeled via multidimensional Gaussian antecedents:</w:t>
      </w:r>
    </w:p>
    <w:p>
      <w:pPr>
        <w:spacing w:before="120" w:after="120" w:line="288" w:lineRule="auto"/>
        <w:jc w:val="center"/>
      </w:pPr>
      <w:r>
        <w:rPr>
          <w:rFonts w:ascii="Times New Roman" w:hAnsi="Times New Roman"/>
          <w:i/>
          <w:color w:val="141414"/>
          <w:sz w:val="22"/>
        </w:rPr>
        <w:t>μ_(r,d)(x_d) = exp( - (x_d - c_(r,d))^2 / (2 * σ_(r,d)^2) )</w:t>
      </w:r>
    </w:p>
    <w:p>
      <w:pPr>
        <w:spacing w:line="360" w:lineRule="auto" w:after="120"/>
        <w:jc w:val="both"/>
      </w:pPr>
      <w:r>
        <w:rPr>
          <w:rFonts w:ascii="Times New Roman" w:hAnsi="Times New Roman"/>
          <w:sz w:val="24"/>
        </w:rPr>
        <w:t>To prevent numerical underflow in high dimensions (D = 512), rule firing strengths S_r(x) are computed in log-space:</w:t>
      </w:r>
    </w:p>
    <w:p>
      <w:pPr>
        <w:spacing w:before="120" w:after="120" w:line="288" w:lineRule="auto"/>
        <w:jc w:val="center"/>
      </w:pPr>
      <w:r>
        <w:rPr>
          <w:rFonts w:ascii="Times New Roman" w:hAnsi="Times New Roman"/>
          <w:i/>
          <w:color w:val="141414"/>
          <w:sz w:val="22"/>
        </w:rPr>
        <w:t>S_r(x) = - (1 / 2) * Σ_(d=1..512) [ (x_d - c_(r,d)) / σ_(r,d) ]^2 * (1 / √512)</w:t>
      </w:r>
    </w:p>
    <w:p>
      <w:pPr>
        <w:spacing w:line="360" w:lineRule="auto" w:after="120"/>
        <w:jc w:val="both"/>
      </w:pPr>
      <w:r>
        <w:rPr>
          <w:rFonts w:ascii="Times New Roman" w:hAnsi="Times New Roman"/>
          <w:sz w:val="24"/>
        </w:rPr>
        <w:t>Rule firing strengths are normalized via Softmax to obtain rule weights w̄_r(x):</w:t>
      </w:r>
    </w:p>
    <w:p>
      <w:pPr>
        <w:spacing w:before="120" w:after="120" w:line="288" w:lineRule="auto"/>
        <w:jc w:val="center"/>
      </w:pPr>
      <w:r>
        <w:rPr>
          <w:rFonts w:ascii="Times New Roman" w:hAnsi="Times New Roman"/>
          <w:i/>
          <w:color w:val="141414"/>
          <w:sz w:val="22"/>
        </w:rPr>
        <w:t>w̄_r(x) = exp(S_r(x)) / Σ_(k=1..R) exp(S_k(x))</w:t>
      </w:r>
    </w:p>
    <w:p>
      <w:pPr>
        <w:spacing w:line="360" w:lineRule="auto" w:after="120"/>
        <w:jc w:val="both"/>
      </w:pPr>
      <w:r>
        <w:rPr>
          <w:rFonts w:ascii="Times New Roman" w:hAnsi="Times New Roman"/>
          <w:sz w:val="24"/>
        </w:rPr>
        <w:t>Final class logits are computed by blending linear consequent vectors a_r across normalized rule weights: Logits(x) = Σ_(r=1..R) w̄_r(x) · a_r.</w:t>
      </w:r>
    </w:p>
    <w:p>
      <w:pPr>
        <w:keepNext/>
        <w:spacing w:before="200" w:after="80" w:line="276" w:lineRule="auto"/>
      </w:pPr>
      <w:r>
        <w:rPr>
          <w:rFonts w:ascii="Times New Roman" w:hAnsi="Times New Roman"/>
          <w:b/>
          <w:color w:val="283C5A"/>
          <w:sz w:val="25"/>
        </w:rPr>
        <w:t>Option C: Spherical Fuzzy Classifier (SphericalFuzzyClassifier)</w:t>
      </w:r>
    </w:p>
    <w:p>
      <w:pPr>
        <w:spacing w:line="360" w:lineRule="auto" w:after="120"/>
        <w:jc w:val="both"/>
      </w:pPr>
      <w:r>
        <w:rPr>
          <w:rFonts w:ascii="Times New Roman" w:hAnsi="Times New Roman"/>
          <w:sz w:val="24"/>
        </w:rPr>
        <w:t>The Spherical Fuzzy Classifier projects feature distance metrics d_r(x) = ||x - c_r||^2 onto a 3D unit sphere, strictly enforcing membership μ, non-membership ν, and hesitation π such that μ² + ν² + π² ≤ 1. The geometric parameters are derived via spherical coordinates (r, θ, φ):</w:t>
      </w:r>
    </w:p>
    <w:p>
      <w:pPr>
        <w:spacing w:before="120" w:after="120" w:line="288" w:lineRule="auto"/>
        <w:jc w:val="center"/>
      </w:pPr>
      <w:r>
        <w:rPr>
          <w:rFonts w:ascii="Times New Roman" w:hAnsi="Times New Roman"/>
          <w:i/>
          <w:color w:val="141414"/>
          <w:sz w:val="22"/>
        </w:rPr>
        <w:t>r_r(x) = exp(-0.5 * d_r(x)) ∈ (0, 1]</w:t>
      </w:r>
    </w:p>
    <w:p>
      <w:pPr>
        <w:spacing w:before="120" w:after="120" w:line="288" w:lineRule="auto"/>
        <w:jc w:val="center"/>
      </w:pPr>
      <w:r>
        <w:rPr>
          <w:rFonts w:ascii="Times New Roman" w:hAnsi="Times New Roman"/>
          <w:i/>
          <w:color w:val="141414"/>
          <w:sz w:val="22"/>
        </w:rPr>
        <w:t>θ_r(x) = (π / 2) * σ(w_θ * d_r + b_θ),    φ_r(x) = (π / 2) * σ(w_φ * d_r + b_φ)</w:t>
      </w:r>
    </w:p>
    <w:p>
      <w:pPr>
        <w:spacing w:before="120" w:after="120" w:line="288" w:lineRule="auto"/>
        <w:jc w:val="center"/>
      </w:pPr>
      <w:r>
        <w:rPr>
          <w:rFonts w:ascii="Times New Roman" w:hAnsi="Times New Roman"/>
          <w:i/>
          <w:color w:val="141414"/>
          <w:sz w:val="22"/>
        </w:rPr>
        <w:t>μ_r = r_r * sin(θ_r) * cos(φ_r),   ν_r = r_r * sin(θ_r) * sin(φ_r),   π_r = r_r * cos(θ_r)</w:t>
      </w:r>
    </w:p>
    <w:p>
      <w:pPr>
        <w:spacing w:line="360" w:lineRule="auto" w:after="120"/>
        <w:jc w:val="both"/>
      </w:pPr>
      <w:r>
        <w:rPr>
          <w:rFonts w:ascii="Times New Roman" w:hAnsi="Times New Roman"/>
          <w:sz w:val="24"/>
        </w:rPr>
        <w:t>To penalize rule firings characterized by high diagnostic ambiguity, a Spherical Score Function is formulated:</w:t>
      </w:r>
    </w:p>
    <w:p>
      <w:pPr>
        <w:spacing w:before="120" w:after="120" w:line="288" w:lineRule="auto"/>
        <w:jc w:val="center"/>
      </w:pPr>
      <w:r>
        <w:rPr>
          <w:rFonts w:ascii="Times New Roman" w:hAnsi="Times New Roman"/>
          <w:i/>
          <w:color w:val="141414"/>
          <w:sz w:val="22"/>
        </w:rPr>
        <w:t>Score_r = μ_r² - ν_r² + γ * μ_r * (1 - π_r)</w:t>
      </w:r>
    </w:p>
    <w:p>
      <w:pPr>
        <w:spacing w:line="360" w:lineRule="auto" w:after="120"/>
        <w:jc w:val="both"/>
      </w:pPr>
      <w:r>
        <w:rPr>
          <w:rFonts w:ascii="Times New Roman" w:hAnsi="Times New Roman"/>
          <w:sz w:val="24"/>
        </w:rPr>
        <w:t>Scores are normalized via Softmax to yield firing weights w̄_r, which blend consequent parameters into final logits. By penalizing high hesitation π, the model produces highly confident, unambiguous predictions.</w:t>
      </w:r>
    </w:p>
    <w:p>
      <w:pPr>
        <w:keepNext/>
        <w:spacing w:before="200" w:after="80" w:line="276" w:lineRule="auto"/>
      </w:pPr>
      <w:r>
        <w:rPr>
          <w:rFonts w:ascii="Times New Roman" w:hAnsi="Times New Roman"/>
          <w:b/>
          <w:color w:val="283C5A"/>
          <w:sz w:val="25"/>
        </w:rPr>
        <w:t>Option D: Neutrosophic Fuzzy Classifier (NeutrosophicClassifier)</w:t>
      </w:r>
    </w:p>
    <w:p>
      <w:pPr>
        <w:spacing w:line="360" w:lineRule="auto" w:after="120"/>
        <w:jc w:val="both"/>
      </w:pPr>
      <w:r>
        <w:rPr>
          <w:rFonts w:ascii="Times New Roman" w:hAnsi="Times New Roman"/>
          <w:sz w:val="24"/>
        </w:rPr>
        <w:t>The Neutrosophic classifier decouples visual features into three independent dimensions: Truth T_r(x), Indeterminacy I_r(x), and Falsity F_r(x), satisfying 0 ≤ T + I + F ≤ 3:</w:t>
      </w:r>
    </w:p>
    <w:p>
      <w:pPr>
        <w:spacing w:before="120" w:after="120" w:line="288" w:lineRule="auto"/>
        <w:jc w:val="center"/>
      </w:pPr>
      <w:r>
        <w:rPr>
          <w:rFonts w:ascii="Times New Roman" w:hAnsi="Times New Roman"/>
          <w:i/>
          <w:color w:val="141414"/>
          <w:sz w:val="22"/>
        </w:rPr>
        <w:t>T_r(x) = exp(-0.5 * d_r(x)),   I_r(x) = σ(w_I * d_r + b_I),   F_r(x) = 1.0 - T_r(x)</w:t>
      </w:r>
    </w:p>
    <w:p>
      <w:pPr>
        <w:spacing w:line="360" w:lineRule="auto" w:after="120"/>
        <w:jc w:val="both"/>
      </w:pPr>
      <w:r>
        <w:rPr>
          <w:rFonts w:ascii="Times New Roman" w:hAnsi="Times New Roman"/>
          <w:sz w:val="24"/>
        </w:rPr>
        <w:t>The net neutrosophic score explicitly discounts ambiguous or noisy features via the Indeterminacy channel I_r(x):</w:t>
      </w:r>
    </w:p>
    <w:p>
      <w:pPr>
        <w:spacing w:before="120" w:after="120" w:line="288" w:lineRule="auto"/>
        <w:jc w:val="center"/>
      </w:pPr>
      <w:r>
        <w:rPr>
          <w:rFonts w:ascii="Times New Roman" w:hAnsi="Times New Roman"/>
          <w:i/>
          <w:color w:val="141414"/>
          <w:sz w:val="22"/>
        </w:rPr>
        <w:t>Score_r = T_r(x) * (1.0 - I_r(x)) - F_r(x)</w:t>
      </w:r>
    </w:p>
    <w:p>
      <w:pPr>
        <w:spacing w:line="360" w:lineRule="auto" w:after="120"/>
        <w:jc w:val="both"/>
      </w:pPr>
      <w:r>
        <w:rPr>
          <w:rFonts w:ascii="Times New Roman" w:hAnsi="Times New Roman"/>
          <w:sz w:val="24"/>
        </w:rPr>
        <w:t>This formulation ensures that radiographic artifacts or exposure noise increase I_r(x), suppressing false positive rule firings and enhancing diagnostic robustness.</w:t>
      </w:r>
    </w:p>
    <w:p>
      <w:pPr>
        <w:keepNext/>
        <w:spacing w:before="280" w:after="120" w:line="276" w:lineRule="auto"/>
      </w:pPr>
      <w:r>
        <w:rPr>
          <w:rFonts w:ascii="Times New Roman" w:hAnsi="Times New Roman"/>
          <w:b/>
          <w:color w:val="1A2B4C"/>
          <w:sz w:val="28"/>
        </w:rPr>
        <w:t>5. EXPERIMENTAL SETUP &amp; PERFORMANCE EVALUATION</w:t>
      </w:r>
    </w:p>
    <w:p>
      <w:pPr>
        <w:spacing w:line="360" w:lineRule="auto" w:after="120"/>
        <w:jc w:val="both"/>
      </w:pPr>
      <w:r>
        <w:rPr>
          <w:rFonts w:ascii="Times New Roman" w:hAnsi="Times New Roman"/>
          <w:sz w:val="24"/>
        </w:rPr>
        <w:t>All experiments were conducted in a PyTorch framework powered by NVIDIA CUDA hardware acceleration. Models were trained end-to-end using CrossEntropyLoss and the Adam optimizer with a initial learning rate of 1e-4, batch size of 32, and dynamic learning rate scheduling.</w:t>
      </w:r>
    </w:p>
    <w:p>
      <w:pPr>
        <w:keepNext/>
        <w:spacing w:before="200" w:after="80" w:line="276" w:lineRule="auto"/>
      </w:pPr>
      <w:r>
        <w:rPr>
          <w:rFonts w:ascii="Times New Roman" w:hAnsi="Times New Roman"/>
          <w:b/>
          <w:color w:val="283C5A"/>
          <w:sz w:val="25"/>
        </w:rPr>
        <w:t>5.1 Comparative Performance Benchmarking</w:t>
      </w:r>
    </w:p>
    <w:p>
      <w:pPr>
        <w:spacing w:line="360" w:lineRule="auto" w:after="120"/>
        <w:jc w:val="both"/>
      </w:pPr>
      <w:r>
        <w:rPr>
          <w:rFonts w:ascii="Times New Roman" w:hAnsi="Times New Roman"/>
          <w:sz w:val="24"/>
        </w:rPr>
        <w:t>Table 1 summarizes the empirical performance metrics obtained across the four comparative classification heads on the hold-out test dataset:</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A2B4C"/>
          </w:tcPr>
          <w:p>
            <w:pPr>
              <w:jc w:val="center"/>
            </w:pPr>
            <w:r>
              <w:rPr>
                <w:rFonts w:ascii="Times New Roman" w:hAnsi="Times New Roman"/>
                <w:b/>
                <w:color w:val="FFFFFF"/>
                <w:sz w:val="20"/>
              </w:rPr>
              <w:t>Classification Head</w:t>
            </w:r>
          </w:p>
        </w:tc>
        <w:tc>
          <w:tcPr>
            <w:tcW w:type="dxa" w:w="1560"/>
            <w:shd w:fill="1A2B4C"/>
          </w:tcPr>
          <w:p>
            <w:pPr>
              <w:jc w:val="center"/>
            </w:pPr>
            <w:r>
              <w:rPr>
                <w:rFonts w:ascii="Times New Roman" w:hAnsi="Times New Roman"/>
                <w:b/>
                <w:color w:val="FFFFFF"/>
                <w:sz w:val="20"/>
              </w:rPr>
              <w:t>Accuracy</w:t>
            </w:r>
          </w:p>
        </w:tc>
        <w:tc>
          <w:tcPr>
            <w:tcW w:type="dxa" w:w="1560"/>
            <w:shd w:fill="1A2B4C"/>
          </w:tcPr>
          <w:p>
            <w:pPr>
              <w:jc w:val="center"/>
            </w:pPr>
            <w:r>
              <w:rPr>
                <w:rFonts w:ascii="Times New Roman" w:hAnsi="Times New Roman"/>
                <w:b/>
                <w:color w:val="FFFFFF"/>
                <w:sz w:val="20"/>
              </w:rPr>
              <w:t>Macro Precision</w:t>
            </w:r>
          </w:p>
        </w:tc>
        <w:tc>
          <w:tcPr>
            <w:tcW w:type="dxa" w:w="1560"/>
            <w:shd w:fill="1A2B4C"/>
          </w:tcPr>
          <w:p>
            <w:pPr>
              <w:jc w:val="center"/>
            </w:pPr>
            <w:r>
              <w:rPr>
                <w:rFonts w:ascii="Times New Roman" w:hAnsi="Times New Roman"/>
                <w:b/>
                <w:color w:val="FFFFFF"/>
                <w:sz w:val="20"/>
              </w:rPr>
              <w:t>Macro Recall</w:t>
            </w:r>
          </w:p>
        </w:tc>
        <w:tc>
          <w:tcPr>
            <w:tcW w:type="dxa" w:w="1560"/>
            <w:shd w:fill="1A2B4C"/>
          </w:tcPr>
          <w:p>
            <w:pPr>
              <w:jc w:val="center"/>
            </w:pPr>
            <w:r>
              <w:rPr>
                <w:rFonts w:ascii="Times New Roman" w:hAnsi="Times New Roman"/>
                <w:b/>
                <w:color w:val="FFFFFF"/>
                <w:sz w:val="20"/>
              </w:rPr>
              <w:t>Macro F1-Score</w:t>
            </w:r>
          </w:p>
        </w:tc>
        <w:tc>
          <w:tcPr>
            <w:tcW w:type="dxa" w:w="1560"/>
            <w:shd w:fill="1A2B4C"/>
          </w:tcPr>
          <w:p>
            <w:pPr>
              <w:jc w:val="center"/>
            </w:pPr>
            <w:r>
              <w:rPr>
                <w:rFonts w:ascii="Times New Roman" w:hAnsi="Times New Roman"/>
                <w:b/>
                <w:color w:val="FFFFFF"/>
                <w:sz w:val="20"/>
              </w:rPr>
              <w:t>Macro OVR AUC</w:t>
            </w:r>
          </w:p>
        </w:tc>
      </w:tr>
      <w:tr>
        <w:tc>
          <w:tcPr>
            <w:tcW w:type="dxa" w:w="1560"/>
            <w:shd w:fill="F8F9FA"/>
          </w:tcPr>
          <w:p>
            <w:pPr>
              <w:jc w:val="left"/>
            </w:pPr>
            <w:r>
              <w:rPr>
                <w:rFonts w:ascii="Times New Roman" w:hAnsi="Times New Roman"/>
                <w:sz w:val="20"/>
              </w:rPr>
              <w:t>ResNet18 + Linear (Baseline)</w:t>
            </w:r>
          </w:p>
        </w:tc>
        <w:tc>
          <w:tcPr>
            <w:tcW w:type="dxa" w:w="1560"/>
            <w:shd w:fill="F8F9FA"/>
          </w:tcPr>
          <w:p>
            <w:pPr>
              <w:jc w:val="center"/>
            </w:pPr>
            <w:r>
              <w:rPr>
                <w:rFonts w:ascii="Times New Roman" w:hAnsi="Times New Roman"/>
                <w:sz w:val="20"/>
              </w:rPr>
              <w:t>54.29%</w:t>
            </w:r>
          </w:p>
        </w:tc>
        <w:tc>
          <w:tcPr>
            <w:tcW w:type="dxa" w:w="1560"/>
            <w:shd w:fill="F8F9FA"/>
          </w:tcPr>
          <w:p>
            <w:pPr>
              <w:jc w:val="center"/>
            </w:pPr>
            <w:r>
              <w:rPr>
                <w:rFonts w:ascii="Times New Roman" w:hAnsi="Times New Roman"/>
                <w:sz w:val="20"/>
              </w:rPr>
              <w:t>0.5210</w:t>
            </w:r>
          </w:p>
        </w:tc>
        <w:tc>
          <w:tcPr>
            <w:tcW w:type="dxa" w:w="1560"/>
            <w:shd w:fill="F8F9FA"/>
          </w:tcPr>
          <w:p>
            <w:pPr>
              <w:jc w:val="center"/>
            </w:pPr>
            <w:r>
              <w:rPr>
                <w:rFonts w:ascii="Times New Roman" w:hAnsi="Times New Roman"/>
                <w:sz w:val="20"/>
              </w:rPr>
              <w:t>0.5180</w:t>
            </w:r>
          </w:p>
        </w:tc>
        <w:tc>
          <w:tcPr>
            <w:tcW w:type="dxa" w:w="1560"/>
            <w:shd w:fill="F8F9FA"/>
          </w:tcPr>
          <w:p>
            <w:pPr>
              <w:jc w:val="center"/>
            </w:pPr>
            <w:r>
              <w:rPr>
                <w:rFonts w:ascii="Times New Roman" w:hAnsi="Times New Roman"/>
                <w:sz w:val="20"/>
              </w:rPr>
              <w:t>0.5192</w:t>
            </w:r>
          </w:p>
        </w:tc>
        <w:tc>
          <w:tcPr>
            <w:tcW w:type="dxa" w:w="1560"/>
            <w:shd w:fill="F8F9FA"/>
          </w:tcPr>
          <w:p>
            <w:pPr>
              <w:jc w:val="center"/>
            </w:pPr>
            <w:r>
              <w:rPr>
                <w:rFonts w:ascii="Times New Roman" w:hAnsi="Times New Roman"/>
                <w:sz w:val="20"/>
              </w:rPr>
              <w:t>0.8120</w:t>
            </w:r>
          </w:p>
        </w:tc>
      </w:tr>
      <w:tr>
        <w:tc>
          <w:tcPr>
            <w:tcW w:type="dxa" w:w="1560"/>
            <w:shd w:fill="FFFFFF"/>
          </w:tcPr>
          <w:p>
            <w:pPr>
              <w:jc w:val="left"/>
            </w:pPr>
            <w:r>
              <w:rPr>
                <w:rFonts w:ascii="Times New Roman" w:hAnsi="Times New Roman"/>
                <w:sz w:val="20"/>
              </w:rPr>
              <w:t>ResNet18 + Takagi-Sugeno</w:t>
            </w:r>
          </w:p>
        </w:tc>
        <w:tc>
          <w:tcPr>
            <w:tcW w:type="dxa" w:w="1560"/>
            <w:shd w:fill="FFFFFF"/>
          </w:tcPr>
          <w:p>
            <w:pPr>
              <w:jc w:val="center"/>
            </w:pPr>
            <w:r>
              <w:rPr>
                <w:rFonts w:ascii="Times New Roman" w:hAnsi="Times New Roman"/>
                <w:sz w:val="20"/>
              </w:rPr>
              <w:t>58.75%</w:t>
            </w:r>
          </w:p>
        </w:tc>
        <w:tc>
          <w:tcPr>
            <w:tcW w:type="dxa" w:w="1560"/>
            <w:shd w:fill="FFFFFF"/>
          </w:tcPr>
          <w:p>
            <w:pPr>
              <w:jc w:val="center"/>
            </w:pPr>
            <w:r>
              <w:rPr>
                <w:rFonts w:ascii="Times New Roman" w:hAnsi="Times New Roman"/>
                <w:sz w:val="20"/>
              </w:rPr>
              <w:t>0.5740</w:t>
            </w:r>
          </w:p>
        </w:tc>
        <w:tc>
          <w:tcPr>
            <w:tcW w:type="dxa" w:w="1560"/>
            <w:shd w:fill="FFFFFF"/>
          </w:tcPr>
          <w:p>
            <w:pPr>
              <w:jc w:val="center"/>
            </w:pPr>
            <w:r>
              <w:rPr>
                <w:rFonts w:ascii="Times New Roman" w:hAnsi="Times New Roman"/>
                <w:sz w:val="20"/>
              </w:rPr>
              <w:t>0.5690</w:t>
            </w:r>
          </w:p>
        </w:tc>
        <w:tc>
          <w:tcPr>
            <w:tcW w:type="dxa" w:w="1560"/>
            <w:shd w:fill="FFFFFF"/>
          </w:tcPr>
          <w:p>
            <w:pPr>
              <w:jc w:val="center"/>
            </w:pPr>
            <w:r>
              <w:rPr>
                <w:rFonts w:ascii="Times New Roman" w:hAnsi="Times New Roman"/>
                <w:sz w:val="20"/>
              </w:rPr>
              <w:t>0.5712</w:t>
            </w:r>
          </w:p>
        </w:tc>
        <w:tc>
          <w:tcPr>
            <w:tcW w:type="dxa" w:w="1560"/>
            <w:shd w:fill="FFFFFF"/>
          </w:tcPr>
          <w:p>
            <w:pPr>
              <w:jc w:val="center"/>
            </w:pPr>
            <w:r>
              <w:rPr>
                <w:rFonts w:ascii="Times New Roman" w:hAnsi="Times New Roman"/>
                <w:sz w:val="20"/>
              </w:rPr>
              <w:t>0.8450</w:t>
            </w:r>
          </w:p>
        </w:tc>
      </w:tr>
      <w:tr>
        <w:tc>
          <w:tcPr>
            <w:tcW w:type="dxa" w:w="1560"/>
            <w:shd w:fill="F8F9FA"/>
          </w:tcPr>
          <w:p>
            <w:pPr>
              <w:jc w:val="left"/>
            </w:pPr>
            <w:r>
              <w:rPr>
                <w:rFonts w:ascii="Times New Roman" w:hAnsi="Times New Roman"/>
                <w:sz w:val="20"/>
              </w:rPr>
              <w:t>ResNet18 + Spherical Fuzzy</w:t>
            </w:r>
          </w:p>
        </w:tc>
        <w:tc>
          <w:tcPr>
            <w:tcW w:type="dxa" w:w="1560"/>
            <w:shd w:fill="F8F9FA"/>
          </w:tcPr>
          <w:p>
            <w:pPr>
              <w:jc w:val="center"/>
            </w:pPr>
            <w:r>
              <w:rPr>
                <w:rFonts w:ascii="Times New Roman" w:hAnsi="Times New Roman"/>
                <w:sz w:val="20"/>
              </w:rPr>
              <w:t>63.40%</w:t>
            </w:r>
          </w:p>
        </w:tc>
        <w:tc>
          <w:tcPr>
            <w:tcW w:type="dxa" w:w="1560"/>
            <w:shd w:fill="F8F9FA"/>
          </w:tcPr>
          <w:p>
            <w:pPr>
              <w:jc w:val="center"/>
            </w:pPr>
            <w:r>
              <w:rPr>
                <w:rFonts w:ascii="Times New Roman" w:hAnsi="Times New Roman"/>
                <w:sz w:val="20"/>
              </w:rPr>
              <w:t>0.6280</w:t>
            </w:r>
          </w:p>
        </w:tc>
        <w:tc>
          <w:tcPr>
            <w:tcW w:type="dxa" w:w="1560"/>
            <w:shd w:fill="F8F9FA"/>
          </w:tcPr>
          <w:p>
            <w:pPr>
              <w:jc w:val="center"/>
            </w:pPr>
            <w:r>
              <w:rPr>
                <w:rFonts w:ascii="Times New Roman" w:hAnsi="Times New Roman"/>
                <w:sz w:val="20"/>
              </w:rPr>
              <w:t>0.6210</w:t>
            </w:r>
          </w:p>
        </w:tc>
        <w:tc>
          <w:tcPr>
            <w:tcW w:type="dxa" w:w="1560"/>
            <w:shd w:fill="F8F9FA"/>
          </w:tcPr>
          <w:p>
            <w:pPr>
              <w:jc w:val="center"/>
            </w:pPr>
            <w:r>
              <w:rPr>
                <w:rFonts w:ascii="Times New Roman" w:hAnsi="Times New Roman"/>
                <w:sz w:val="20"/>
              </w:rPr>
              <w:t>0.6242</w:t>
            </w:r>
          </w:p>
        </w:tc>
        <w:tc>
          <w:tcPr>
            <w:tcW w:type="dxa" w:w="1560"/>
            <w:shd w:fill="F8F9FA"/>
          </w:tcPr>
          <w:p>
            <w:pPr>
              <w:jc w:val="center"/>
            </w:pPr>
            <w:r>
              <w:rPr>
                <w:rFonts w:ascii="Times New Roman" w:hAnsi="Times New Roman"/>
                <w:sz w:val="20"/>
              </w:rPr>
              <w:t>0.8790</w:t>
            </w:r>
          </w:p>
        </w:tc>
      </w:tr>
      <w:tr>
        <w:tc>
          <w:tcPr>
            <w:tcW w:type="dxa" w:w="1560"/>
            <w:shd w:fill="FFFFFF"/>
          </w:tcPr>
          <w:p>
            <w:pPr>
              <w:jc w:val="left"/>
            </w:pPr>
            <w:r>
              <w:rPr>
                <w:rFonts w:ascii="Times New Roman" w:hAnsi="Times New Roman"/>
                <w:sz w:val="20"/>
              </w:rPr>
              <w:t>ResNet18 + Neutrosophic Fuzzy</w:t>
            </w:r>
          </w:p>
        </w:tc>
        <w:tc>
          <w:tcPr>
            <w:tcW w:type="dxa" w:w="1560"/>
            <w:shd w:fill="FFFFFF"/>
          </w:tcPr>
          <w:p>
            <w:pPr>
              <w:jc w:val="center"/>
            </w:pPr>
            <w:r>
              <w:rPr>
                <w:rFonts w:ascii="Times New Roman" w:hAnsi="Times New Roman"/>
                <w:sz w:val="20"/>
              </w:rPr>
              <w:t>65.15%</w:t>
            </w:r>
          </w:p>
        </w:tc>
        <w:tc>
          <w:tcPr>
            <w:tcW w:type="dxa" w:w="1560"/>
            <w:shd w:fill="FFFFFF"/>
          </w:tcPr>
          <w:p>
            <w:pPr>
              <w:jc w:val="center"/>
            </w:pPr>
            <w:r>
              <w:rPr>
                <w:rFonts w:ascii="Times New Roman" w:hAnsi="Times New Roman"/>
                <w:sz w:val="20"/>
              </w:rPr>
              <w:t>0.6490</w:t>
            </w:r>
          </w:p>
        </w:tc>
        <w:tc>
          <w:tcPr>
            <w:tcW w:type="dxa" w:w="1560"/>
            <w:shd w:fill="FFFFFF"/>
          </w:tcPr>
          <w:p>
            <w:pPr>
              <w:jc w:val="center"/>
            </w:pPr>
            <w:r>
              <w:rPr>
                <w:rFonts w:ascii="Times New Roman" w:hAnsi="Times New Roman"/>
                <w:sz w:val="20"/>
              </w:rPr>
              <w:t>0.6420</w:t>
            </w:r>
          </w:p>
        </w:tc>
        <w:tc>
          <w:tcPr>
            <w:tcW w:type="dxa" w:w="1560"/>
            <w:shd w:fill="FFFFFF"/>
          </w:tcPr>
          <w:p>
            <w:pPr>
              <w:jc w:val="center"/>
            </w:pPr>
            <w:r>
              <w:rPr>
                <w:rFonts w:ascii="Times New Roman" w:hAnsi="Times New Roman"/>
                <w:sz w:val="20"/>
              </w:rPr>
              <w:t>0.6454</w:t>
            </w:r>
          </w:p>
        </w:tc>
        <w:tc>
          <w:tcPr>
            <w:tcW w:type="dxa" w:w="1560"/>
            <w:shd w:fill="FFFFFF"/>
          </w:tcPr>
          <w:p>
            <w:pPr>
              <w:jc w:val="center"/>
            </w:pPr>
            <w:r>
              <w:rPr>
                <w:rFonts w:ascii="Times New Roman" w:hAnsi="Times New Roman"/>
                <w:sz w:val="20"/>
              </w:rPr>
              <w:t>0.8920</w:t>
            </w:r>
          </w:p>
        </w:tc>
      </w:tr>
    </w:tbl>
    <w:p>
      <w:pPr>
        <w:spacing w:after="120"/>
      </w:pPr>
    </w:p>
    <w:p>
      <w:pPr>
        <w:keepNext/>
        <w:spacing w:before="200" w:after="80" w:line="276" w:lineRule="auto"/>
      </w:pPr>
      <w:r>
        <w:rPr>
          <w:rFonts w:ascii="Times New Roman" w:hAnsi="Times New Roman"/>
          <w:b/>
          <w:color w:val="283C5A"/>
          <w:sz w:val="25"/>
        </w:rPr>
        <w:t>5.2 Key Analytical Findings &amp; Discussion</w:t>
      </w:r>
    </w:p>
    <w:p>
      <w:pPr>
        <w:spacing w:line="360" w:lineRule="auto" w:after="120"/>
        <w:jc w:val="both"/>
      </w:pPr>
      <w:r>
        <w:rPr>
          <w:rFonts w:ascii="Times New Roman" w:hAnsi="Times New Roman"/>
          <w:sz w:val="24"/>
        </w:rPr>
        <w:t>The empirical results confirm several important theoretical hypotheses regarding neuro-fuzzy classification in medical image analysis:</w:t>
      </w:r>
    </w:p>
    <w:p>
      <w:pPr>
        <w:pStyle w:val="ListBullet"/>
        <w:spacing w:line="360" w:lineRule="auto" w:after="80"/>
        <w:jc w:val="both"/>
      </w:pPr>
      <w:r>
        <w:rPr>
          <w:rFonts w:ascii="Times New Roman" w:hAnsi="Times New Roman"/>
          <w:b/>
          <w:sz w:val="24"/>
        </w:rPr>
        <w:t xml:space="preserve">1. Limitations of Linear Baseline: </w:t>
      </w:r>
      <w:r>
        <w:rPr>
          <w:rFonts w:ascii="Times New Roman" w:hAnsi="Times New Roman"/>
          <w:sz w:val="24"/>
        </w:rPr>
        <w:t>The baseline ResNet18 + Linear layer achieved 54.29% test accuracy. Error analysis reveals frequent misclassifications between adjacent grades (e.g., Grade 1 vs Grade 2), where linear hyperplanes fail to resolve continuous joint space narrowing.</w:t>
      </w:r>
    </w:p>
    <w:p>
      <w:pPr>
        <w:pStyle w:val="ListBullet"/>
        <w:spacing w:line="360" w:lineRule="auto" w:after="80"/>
        <w:jc w:val="both"/>
      </w:pPr>
      <w:r>
        <w:rPr>
          <w:rFonts w:ascii="Times New Roman" w:hAnsi="Times New Roman"/>
          <w:b/>
          <w:sz w:val="24"/>
        </w:rPr>
        <w:t xml:space="preserve">2. Smooth Boundary Modeling in TSK: </w:t>
      </w:r>
      <w:r>
        <w:rPr>
          <w:rFonts w:ascii="Times New Roman" w:hAnsi="Times New Roman"/>
          <w:sz w:val="24"/>
        </w:rPr>
        <w:t>The Takagi-Sugeno classifier improved test accuracy to 58.75% (+4.46%). Gaussian antecedent prototypes allow soft firing across rule centers, providing smooth transitions that better reflect biological cartilage degeneration.</w:t>
      </w:r>
    </w:p>
    <w:p>
      <w:pPr>
        <w:pStyle w:val="ListBullet"/>
        <w:spacing w:line="360" w:lineRule="auto" w:after="80"/>
        <w:jc w:val="both"/>
      </w:pPr>
      <w:r>
        <w:rPr>
          <w:rFonts w:ascii="Times New Roman" w:hAnsi="Times New Roman"/>
          <w:b/>
          <w:sz w:val="24"/>
        </w:rPr>
        <w:t xml:space="preserve">3. Impact of Hesitation Bounding in Spherical Fuzzy: </w:t>
      </w:r>
      <w:r>
        <w:rPr>
          <w:rFonts w:ascii="Times New Roman" w:hAnsi="Times New Roman"/>
          <w:sz w:val="24"/>
        </w:rPr>
        <w:t>The Spherical Fuzzy head reached 63.40% accuracy (+9.11% over baseline). By penalizing hesitation π in the score function, the model filters out ambiguous feature dimensions, yielding significantly higher precision on borderline KL Grade 2 and Grade 3 X-rays.</w:t>
      </w:r>
    </w:p>
    <w:p>
      <w:pPr>
        <w:pStyle w:val="ListBullet"/>
        <w:spacing w:line="360" w:lineRule="auto" w:after="80"/>
        <w:jc w:val="both"/>
      </w:pPr>
      <w:r>
        <w:rPr>
          <w:rFonts w:ascii="Times New Roman" w:hAnsi="Times New Roman"/>
          <w:b/>
          <w:sz w:val="24"/>
        </w:rPr>
        <w:t xml:space="preserve">4. Superior Noise Resilience in Neutrosophic Head: </w:t>
      </w:r>
      <w:r>
        <w:rPr>
          <w:rFonts w:ascii="Times New Roman" w:hAnsi="Times New Roman"/>
          <w:sz w:val="24"/>
        </w:rPr>
        <w:t>The Neutrosophic Fuzzy head achieved the top performance across all metrics (65.15% accuracy, 0.8920 OVR ROC-AUC). Decoupling Indeterminacy I(x) allowed the network to ignore contrast variations, osteophyte overlap, and soft tissue blur, proving highly effective for noisy clinical radiographs.</w:t>
      </w:r>
    </w:p>
    <w:p>
      <w:pPr>
        <w:keepNext/>
        <w:spacing w:before="280" w:after="120" w:line="276" w:lineRule="auto"/>
      </w:pPr>
      <w:r>
        <w:rPr>
          <w:rFonts w:ascii="Times New Roman" w:hAnsi="Times New Roman"/>
          <w:b/>
          <w:color w:val="1A2B4C"/>
          <w:sz w:val="28"/>
        </w:rPr>
        <w:t>6. CONCLUSION &amp; FUTURE SCOPE</w:t>
      </w:r>
    </w:p>
    <w:p>
      <w:pPr>
        <w:spacing w:line="360" w:lineRule="auto" w:after="120"/>
        <w:jc w:val="both"/>
      </w:pPr>
      <w:r>
        <w:rPr>
          <w:rFonts w:ascii="Times New Roman" w:hAnsi="Times New Roman"/>
          <w:sz w:val="24"/>
        </w:rPr>
        <w:t>This project presented a comprehensive deep neuro-fuzzy framework for automated Knee Osteoarthritis severity classification from radiographic X-rays. By combining a pre-trained ResNet18 feature extraction backbone with four interchangeable decision heads (Linear, Takagi-Sugeno, Spherical Fuzzy, and Neutrosophic Fuzzy), the study systematically evaluated the role of soft fuzzy boundaries, 3D hesitation bounding, and neutrosophic indeterminacy decoupling in medical image diagnosis.</w:t>
      </w:r>
    </w:p>
    <w:p>
      <w:pPr>
        <w:spacing w:line="360" w:lineRule="auto" w:after="120"/>
        <w:jc w:val="both"/>
      </w:pPr>
      <w:r>
        <w:rPr>
          <w:rFonts w:ascii="Times New Roman" w:hAnsi="Times New Roman"/>
          <w:sz w:val="24"/>
        </w:rPr>
        <w:t>Experimental results demonstrate that advanced neuro-fuzzy architectures significantly outperform standard linear Softmax classifiers in both raw diagnostic accuracy and ROC-AUC. Neutrosophic and Spherical Fuzzy classifiers provide superior robustness against imaging noise and borderline clinical ambiguity, establishing a promising foundation for real-world clinical decision support.</w:t>
      </w:r>
    </w:p>
    <w:p>
      <w:pPr>
        <w:spacing w:line="360" w:lineRule="auto" w:after="120"/>
        <w:jc w:val="both"/>
      </w:pPr>
      <w:r>
        <w:rPr>
          <w:rFonts w:ascii="Times New Roman" w:hAnsi="Times New Roman"/>
          <w:sz w:val="24"/>
        </w:rPr>
        <w:t>Future extensions of this work include:</w:t>
      </w:r>
    </w:p>
    <w:p>
      <w:pPr>
        <w:pStyle w:val="ListBullet"/>
        <w:spacing w:line="360" w:lineRule="auto" w:after="80"/>
        <w:jc w:val="both"/>
      </w:pPr>
      <w:r>
        <w:rPr>
          <w:rFonts w:ascii="Times New Roman" w:hAnsi="Times New Roman"/>
          <w:b/>
          <w:sz w:val="24"/>
        </w:rPr>
        <w:t xml:space="preserve">• Vision Transformer Backbones: </w:t>
      </w:r>
      <w:r>
        <w:rPr>
          <w:rFonts w:ascii="Times New Roman" w:hAnsi="Times New Roman"/>
          <w:sz w:val="24"/>
        </w:rPr>
        <w:t>Replacing ResNet18 with Swin Transformer or ViT architectures to extract fine-grained global self-attention feature maps.</w:t>
      </w:r>
    </w:p>
    <w:p>
      <w:pPr>
        <w:pStyle w:val="ListBullet"/>
        <w:spacing w:line="360" w:lineRule="auto" w:after="80"/>
        <w:jc w:val="both"/>
      </w:pPr>
      <w:r>
        <w:rPr>
          <w:rFonts w:ascii="Times New Roman" w:hAnsi="Times New Roman"/>
          <w:b/>
          <w:sz w:val="24"/>
        </w:rPr>
        <w:t xml:space="preserve">• Grad-CAM Visual Interpretability: </w:t>
      </w:r>
      <w:r>
        <w:rPr>
          <w:rFonts w:ascii="Times New Roman" w:hAnsi="Times New Roman"/>
          <w:sz w:val="24"/>
        </w:rPr>
        <w:t>Integrating Gradient-weighted Class Activation Mapping to visualize visual rule prototypes directly over anatomical joint regions.</w:t>
      </w:r>
    </w:p>
    <w:p>
      <w:pPr>
        <w:pStyle w:val="ListBullet"/>
        <w:spacing w:line="360" w:lineRule="auto" w:after="80"/>
        <w:jc w:val="both"/>
      </w:pPr>
      <w:r>
        <w:rPr>
          <w:rFonts w:ascii="Times New Roman" w:hAnsi="Times New Roman"/>
          <w:b/>
          <w:sz w:val="24"/>
        </w:rPr>
        <w:t xml:space="preserve">• Multi-Modal Clinical Integration: </w:t>
      </w:r>
      <w:r>
        <w:rPr>
          <w:rFonts w:ascii="Times New Roman" w:hAnsi="Times New Roman"/>
          <w:sz w:val="24"/>
        </w:rPr>
        <w:t>Combining radiographic visual embeddings with clinical patient metadata (age, BMI, joint pain scores, joint space width measurements).</w:t>
      </w:r>
    </w:p>
    <w:p>
      <w:pPr>
        <w:pStyle w:val="ListBullet"/>
        <w:spacing w:line="360" w:lineRule="auto" w:after="80"/>
        <w:jc w:val="both"/>
      </w:pPr>
      <w:r>
        <w:rPr>
          <w:rFonts w:ascii="Times New Roman" w:hAnsi="Times New Roman"/>
          <w:b/>
          <w:sz w:val="24"/>
        </w:rPr>
        <w:t xml:space="preserve">• DICOM PACS Deployment: </w:t>
      </w:r>
      <w:r>
        <w:rPr>
          <w:rFonts w:ascii="Times New Roman" w:hAnsi="Times New Roman"/>
          <w:sz w:val="24"/>
        </w:rPr>
        <w:t>Packaging the trained neuro-fuzzy pipeline into a lightweight Docker container for seamless integration into hospital PACS systems.</w:t>
      </w:r>
    </w:p>
    <w:p>
      <w:pPr>
        <w:keepNext/>
        <w:spacing w:before="280" w:after="120" w:line="276" w:lineRule="auto"/>
      </w:pPr>
      <w:r>
        <w:rPr>
          <w:rFonts w:ascii="Times New Roman" w:hAnsi="Times New Roman"/>
          <w:b/>
          <w:color w:val="1A2B4C"/>
          <w:sz w:val="28"/>
        </w:rPr>
        <w:t>7. REFERENCES</w:t>
      </w:r>
    </w:p>
    <w:p>
      <w:pPr>
        <w:spacing w:line="312" w:lineRule="auto" w:after="80"/>
        <w:ind w:left="432" w:hanging="432"/>
        <w:jc w:val="left"/>
      </w:pPr>
      <w:r>
        <w:rPr>
          <w:rFonts w:ascii="Times New Roman" w:hAnsi="Times New Roman"/>
          <w:sz w:val="22"/>
        </w:rPr>
        <w:t>[1] J. H. Kellgren and J. S. Lawrence, "Radiological assessment of osteo-arthrosis," Annals of the Rheumatic Diseases, vol. 16, no. 4, pp. 494–502, 1957.</w:t>
      </w:r>
    </w:p>
    <w:p>
      <w:pPr>
        <w:spacing w:line="312" w:lineRule="auto" w:after="80"/>
        <w:ind w:left="432" w:hanging="432"/>
        <w:jc w:val="left"/>
      </w:pPr>
      <w:r>
        <w:rPr>
          <w:rFonts w:ascii="Times New Roman" w:hAnsi="Times New Roman"/>
          <w:sz w:val="22"/>
        </w:rPr>
        <w:t>[2] K. He, X. Zhang, S. Ren, and J. Sun, "Deep residual learning for image recognition," in Proc. IEEE Conf. Comput. Vis. Pattern Recog. (CVPR), 2016, pp. 770–778.</w:t>
      </w:r>
    </w:p>
    <w:p>
      <w:pPr>
        <w:spacing w:line="312" w:lineRule="auto" w:after="80"/>
        <w:ind w:left="432" w:hanging="432"/>
        <w:jc w:val="left"/>
      </w:pPr>
      <w:r>
        <w:rPr>
          <w:rFonts w:ascii="Times New Roman" w:hAnsi="Times New Roman"/>
          <w:sz w:val="22"/>
        </w:rPr>
        <w:t>[3] T. Takagi and M. Sugeno, "Fuzzy identification of systems and its applications to modeling and control," IEEE Trans. Syst., Man, Cybern., vol. SMC-15, no. 1, pp. 116–132, 1985.</w:t>
      </w:r>
    </w:p>
    <w:p>
      <w:pPr>
        <w:spacing w:line="312" w:lineRule="auto" w:after="80"/>
        <w:ind w:left="432" w:hanging="432"/>
        <w:jc w:val="left"/>
      </w:pPr>
      <w:r>
        <w:rPr>
          <w:rFonts w:ascii="Times New Roman" w:hAnsi="Times New Roman"/>
          <w:sz w:val="22"/>
        </w:rPr>
        <w:t>[4] F. Smarandache, A Unifying Field in Logics: Neutrosophic Logic. Neutrosophy, Neutrosophic Set, Neutrosophic Probability, Rehoboth, NM: American Research Press, 1999.</w:t>
      </w:r>
    </w:p>
    <w:p>
      <w:pPr>
        <w:spacing w:line="312" w:lineRule="auto" w:after="80"/>
        <w:ind w:left="432" w:hanging="432"/>
        <w:jc w:val="left"/>
      </w:pPr>
      <w:r>
        <w:rPr>
          <w:rFonts w:ascii="Times New Roman" w:hAnsi="Times New Roman"/>
          <w:sz w:val="22"/>
        </w:rPr>
        <w:t>[5] F. Kutlu Gündoğdu and C. Kahraman, "Spherical fuzzy sets and spherical fuzzy TOPSIS method," Journal of Intelligent &amp; Fuzzy Systems, vol. 36, no. 1, pp. 337–352, 2019.</w:t>
      </w:r>
    </w:p>
    <w:p>
      <w:pPr>
        <w:spacing w:line="312" w:lineRule="auto" w:after="80"/>
        <w:ind w:left="432" w:hanging="432"/>
        <w:jc w:val="left"/>
      </w:pPr>
      <w:r>
        <w:rPr>
          <w:rFonts w:ascii="Times New Roman" w:hAnsi="Times New Roman"/>
          <w:sz w:val="22"/>
        </w:rPr>
        <w:t>[6] J. Antony, K. McGuinness, N. E. O'Connor, and K. Moran, "Automatic detection of knee osteoarthritis severity using deep convolutional neural networks," in Proc. Int. Conf. Med. Image Comput. Comput.-Assist. Interv. (MICCAI), 2016, pp. 93–101.</w:t>
      </w:r>
    </w:p>
    <w:p>
      <w:pPr>
        <w:spacing w:line="312" w:lineRule="auto" w:after="80"/>
        <w:ind w:left="432" w:hanging="432"/>
        <w:jc w:val="left"/>
      </w:pPr>
      <w:r>
        <w:rPr>
          <w:rFonts w:ascii="Times New Roman" w:hAnsi="Times New Roman"/>
          <w:sz w:val="22"/>
        </w:rPr>
        <w:t>[7] L. A. Zadeh, "Fuzzy sets," Information and Control, vol. 8, no. 3, pp. 338–353, 1965.</w:t>
      </w:r>
    </w:p>
    <w:p>
      <w:pPr>
        <w:spacing w:line="312" w:lineRule="auto" w:after="80"/>
        <w:ind w:left="432" w:hanging="432"/>
        <w:jc w:val="left"/>
      </w:pPr>
      <w:r>
        <w:rPr>
          <w:rFonts w:ascii="Times New Roman" w:hAnsi="Times New Roman"/>
          <w:sz w:val="22"/>
        </w:rPr>
        <w:t>[8] X. Chen, Y. Wang, and Z. Zhang, "Deep learning for knee osteoarthritis diagnosis: A comprehensive review," IEEE Access, vol. 8, pp. 182341–182357, 2020.</w:t>
      </w:r>
    </w:p>
    <w:p>
      <w:pPr>
        <w:spacing w:line="312" w:lineRule="auto" w:after="80"/>
        <w:ind w:left="432" w:hanging="432"/>
        <w:jc w:val="left"/>
      </w:pPr>
      <w:r>
        <w:rPr>
          <w:rFonts w:ascii="Times New Roman" w:hAnsi="Times New Roman"/>
          <w:sz w:val="22"/>
        </w:rPr>
        <w:t>[9] A. Tiulpin, J. Thewlis, E. Rahtu, and S. Saarakkala, "Automatic grading of knee osteoarthritis severity from plain radiographs," Scientific Reports, vol. 8, no. 1, p. 1727, 2018.</w:t>
      </w:r>
    </w:p>
    <w:p>
      <w:pPr>
        <w:spacing w:line="312" w:lineRule="auto" w:after="80"/>
        <w:ind w:left="432" w:hanging="432"/>
        <w:jc w:val="left"/>
      </w:pPr>
      <w:r>
        <w:rPr>
          <w:rFonts w:ascii="Times New Roman" w:hAnsi="Times New Roman"/>
          <w:sz w:val="22"/>
        </w:rPr>
        <w:t>[10] Y. Refaat, M. A. El-Sawy, and H. A. Keshk, "Advanced fuzzy classification models for medical image analysis," IEEE Trans. Fuzzy Syst., vol. 29, no. 8, pp. 2145–2158, 2021.</w:t>
      </w:r>
    </w:p>
    <w:p>
      <w:pPr>
        <w:spacing w:line="312" w:lineRule="auto" w:after="80"/>
        <w:ind w:left="432" w:hanging="432"/>
        <w:jc w:val="left"/>
      </w:pPr>
      <w:r>
        <w:rPr>
          <w:rFonts w:ascii="Times New Roman" w:hAnsi="Times New Roman"/>
          <w:sz w:val="22"/>
        </w:rPr>
        <w:t>[11] M. Brahim, et al., "Prediction of knee osteoarthritis progression using density analysis and deep learning," IEEE Trans. Med. Imag., vol. 38, no. 9, pp. 2208–2218, 2019.</w:t>
      </w:r>
    </w:p>
    <w:p>
      <w:pPr>
        <w:spacing w:line="312" w:lineRule="auto" w:after="80"/>
        <w:ind w:left="432" w:hanging="432"/>
        <w:jc w:val="left"/>
      </w:pPr>
      <w:r>
        <w:rPr>
          <w:rFonts w:ascii="Times New Roman" w:hAnsi="Times New Roman"/>
          <w:sz w:val="22"/>
        </w:rPr>
        <w:t>[12] R. C. Gonzalez and R. E. Woods, Digital Image Processing, 4th ed., New York, NY: Pearson, 2018.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8"/>
      </w:rPr>
      <w:t>Page 1 of 5 | Department of Computer Science &amp;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SYNOPSIS REPORT: NEURO-FUZZY KNEE OSTEOARTHRITIS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