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20" w:before="0"/>
        <w:jc w:val="center"/>
      </w:pPr>
      <w:r>
        <w:rPr>
          <w:rFonts w:ascii="Arial" w:cs="Arial" w:eastAsia="Arial" w:hAnsi="Arial"/>
          <w:b/>
          <w:bCs/>
          <w:color w:val="0D1B3E"/>
          <w:sz w:val="40"/>
          <w:szCs w:val="40"/>
        </w:rPr>
        <w:t xml:space="preserve">SECURITY INCIDENT REPORT</w:t>
      </w:r>
    </w:p>
    <w:p>
      <w:pPr>
        <w:spacing w:after="20" w:before="0"/>
        <w:jc w:val="center"/>
      </w:pPr>
      <w:r>
        <w:rPr>
          <w:rFonts w:ascii="Arial" w:cs="Arial" w:eastAsia="Arial" w:hAnsi="Arial"/>
          <w:i/>
          <w:iCs/>
          <w:color w:val="5F5E5A"/>
          <w:sz w:val="24"/>
          <w:szCs w:val="24"/>
        </w:rPr>
        <w:t xml:space="preserve">SOC Analyst L1 Internship Project</w:t>
      </w:r>
    </w:p>
    <w:p>
      <w:pPr>
        <w:spacing w:after="240" w:before="0"/>
        <w:jc w:val="center"/>
      </w:pPr>
      <w:r>
        <w:rPr>
          <w:rFonts w:ascii="Arial" w:cs="Arial" w:eastAsia="Arial" w:hAnsi="Arial"/>
          <w:color w:val="5F5E5A"/>
          <w:sz w:val="20"/>
          <w:szCs w:val="20"/>
        </w:rPr>
        <w:t xml:space="preserve">Razz Security  |  15 October 2025  |  Report ID: IR-2025-OCT-001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1B3E" w:sz="4"/>
              <w:left w:val="single" w:color="0D1B3E" w:sz="4"/>
              <w:bottom w:val="single" w:color="0D1B3E" w:sz="4"/>
              <w:right w:val="single" w:color="0D1B3E" w:sz="4"/>
            </w:tcBorders>
            <w:shd w:fill="0D1B3E" w:val="clear"/>
            <w:tcMar>
              <w:top w:type="dxa" w:w="180"/>
              <w:left w:type="dxa" w:w="240"/>
              <w:bottom w:type="dxa" w:w="180"/>
              <w:right w:type="dxa" w:w="240"/>
            </w:tcMar>
          </w:tcPr>
          <w:p>
            <w:pPr>
              <w:spacing w:after="120" w:before="0"/>
            </w:pPr>
            <w:r>
              <w:rPr>
                <w:rFonts w:ascii="Arial" w:cs="Arial" w:eastAsia="Arial" w:hAnsi="Arial"/>
                <w:b/>
                <w:bCs/>
                <w:color w:val="FFFFFF"/>
                <w:sz w:val="20"/>
                <w:szCs w:val="20"/>
              </w:rPr>
              <w:t xml:space="preserve">REPORT SUMMARY</w:t>
            </w:r>
          </w:p>
          <w:p>
            <w:pPr>
              <w:spacing w:after="80" w:before="0"/>
            </w:pPr>
            <w:r>
              <w:rPr>
                <w:rFonts w:ascii="Arial" w:cs="Arial" w:eastAsia="Arial" w:hAnsi="Arial"/>
                <w:color w:val="AAAAAA"/>
                <w:sz w:val="19"/>
                <w:szCs w:val="19"/>
              </w:rPr>
              <w:t xml:space="preserve">Monitoring period:  </w:t>
            </w:r>
            <w:r>
              <w:rPr>
                <w:rFonts w:ascii="Arial" w:cs="Arial" w:eastAsia="Arial" w:hAnsi="Arial"/>
                <w:color w:val="FFFFFF"/>
                <w:sz w:val="19"/>
                <w:szCs w:val="19"/>
              </w:rPr>
              <w:t xml:space="preserve">15 October 2025, 00:00 – 23:59 UTC</w:t>
            </w:r>
          </w:p>
          <w:p>
            <w:pPr>
              <w:spacing w:after="80" w:before="0"/>
            </w:pPr>
            <w:r>
              <w:rPr>
                <w:rFonts w:ascii="Arial" w:cs="Arial" w:eastAsia="Arial" w:hAnsi="Arial"/>
                <w:color w:val="AAAAAA"/>
                <w:sz w:val="19"/>
                <w:szCs w:val="19"/>
              </w:rPr>
              <w:t xml:space="preserve">Total events ingested:  </w:t>
            </w:r>
            <w:r>
              <w:rPr>
                <w:rFonts w:ascii="Arial" w:cs="Arial" w:eastAsia="Arial" w:hAnsi="Arial"/>
                <w:color w:val="FFFFFF"/>
                <w:sz w:val="19"/>
                <w:szCs w:val="19"/>
              </w:rPr>
              <w:t xml:space="preserve">520</w:t>
            </w:r>
          </w:p>
          <w:p>
            <w:pPr>
              <w:spacing w:after="80" w:before="0"/>
            </w:pPr>
            <w:r>
              <w:rPr>
                <w:rFonts w:ascii="Arial" w:cs="Arial" w:eastAsia="Arial" w:hAnsi="Arial"/>
                <w:color w:val="AAAAAA"/>
                <w:sz w:val="19"/>
                <w:szCs w:val="19"/>
              </w:rPr>
              <w:t xml:space="preserve">Total alerts triggered:  </w:t>
            </w:r>
            <w:r>
              <w:rPr>
                <w:rFonts w:ascii="Arial" w:cs="Arial" w:eastAsia="Arial" w:hAnsi="Arial"/>
                <w:color w:val="FFFFFF"/>
                <w:sz w:val="19"/>
                <w:szCs w:val="19"/>
              </w:rPr>
              <w:t xml:space="preserve">166  (CRITICAL: 20  |  HIGH: 55  |  WARNING: 91)</w:t>
            </w:r>
          </w:p>
          <w:p>
            <w:pPr>
              <w:spacing w:after="80" w:before="0"/>
            </w:pPr>
            <w:r>
              <w:rPr>
                <w:rFonts w:ascii="Arial" w:cs="Arial" w:eastAsia="Arial" w:hAnsi="Arial"/>
                <w:color w:val="AAAAAA"/>
                <w:sz w:val="19"/>
                <w:szCs w:val="19"/>
              </w:rPr>
              <w:t xml:space="preserve">False positives reduced:  </w:t>
            </w:r>
            <w:r>
              <w:rPr>
                <w:rFonts w:ascii="Arial" w:cs="Arial" w:eastAsia="Arial" w:hAnsi="Arial"/>
                <w:color w:val="FFFFFF"/>
                <w:sz w:val="19"/>
                <w:szCs w:val="19"/>
              </w:rPr>
              <w:t xml:space="preserve">33 of 91 WARNING alerts (~36%) classified as FP</w:t>
            </w:r>
          </w:p>
          <w:p>
            <w:pPr>
              <w:spacing w:after="80" w:before="0"/>
            </w:pPr>
            <w:r>
              <w:rPr>
                <w:rFonts w:ascii="Arial" w:cs="Arial" w:eastAsia="Arial" w:hAnsi="Arial"/>
                <w:color w:val="AAAAAA"/>
                <w:sz w:val="19"/>
                <w:szCs w:val="19"/>
              </w:rPr>
              <w:t xml:space="preserve">Confirmed incidents:  </w:t>
            </w:r>
            <w:r>
              <w:rPr>
                <w:rFonts w:ascii="Arial" w:cs="Arial" w:eastAsia="Arial" w:hAnsi="Arial"/>
                <w:color w:val="FFFFFF"/>
                <w:sz w:val="19"/>
                <w:szCs w:val="19"/>
              </w:rPr>
              <w:t xml:space="preserve">4  (C2 Communication, Brute Force, Port Scan, Privilege Escalation)</w:t>
            </w:r>
          </w:p>
          <w:p>
            <w:pPr>
              <w:spacing w:after="0" w:before="0"/>
            </w:pPr>
            <w:r>
              <w:rPr>
                <w:rFonts w:ascii="Arial" w:cs="Arial" w:eastAsia="Arial" w:hAnsi="Arial"/>
                <w:color w:val="AAAAAA"/>
                <w:sz w:val="19"/>
                <w:szCs w:val="19"/>
              </w:rPr>
              <w:t xml:space="preserve">Analyst:  </w:t>
            </w:r>
            <w:r>
              <w:rPr>
                <w:rFonts w:ascii="Arial" w:cs="Arial" w:eastAsia="Arial" w:hAnsi="Arial"/>
                <w:color w:val="FFFFFF"/>
                <w:sz w:val="19"/>
                <w:szCs w:val="19"/>
              </w:rPr>
              <w:t xml:space="preserve">Asha Latha Sarkar  |  SOC Analyst L1 Intern  |  Razz Security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1. MONITORING OVERVIEW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626"/>
      </w:tblGrid>
      <w:tr>
        <w:tc>
          <w:tcPr>
            <w:tcW w:type="dxa" w:w="2256"/>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tcPr>
          <w:p>
            <w:pPr>
              <w:spacing w:after="20" w:before="0"/>
              <w:jc w:val="center"/>
            </w:pPr>
            <w:r>
              <w:rPr>
                <w:rFonts w:ascii="Arial" w:cs="Arial" w:eastAsia="Arial" w:hAnsi="Arial"/>
                <w:b/>
                <w:bCs/>
                <w:color w:val="FFFFFF"/>
                <w:sz w:val="36"/>
                <w:szCs w:val="36"/>
              </w:rPr>
              <w:t xml:space="preserve">520</w:t>
            </w:r>
          </w:p>
          <w:p>
            <w:pPr>
              <w:spacing w:after="0" w:before="0"/>
              <w:jc w:val="center"/>
            </w:pPr>
            <w:r>
              <w:rPr>
                <w:rFonts w:ascii="Arial" w:cs="Arial" w:eastAsia="Arial" w:hAnsi="Arial"/>
                <w:color w:val="AAAAAA"/>
                <w:sz w:val="17"/>
                <w:szCs w:val="17"/>
              </w:rPr>
              <w:t xml:space="preserve">Total Events</w:t>
            </w:r>
          </w:p>
        </w:tc>
        <w:tc>
          <w:tcPr>
            <w:tcW w:type="dxa" w:w="2256"/>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tcPr>
          <w:p>
            <w:pPr>
              <w:spacing w:after="20" w:before="0"/>
              <w:jc w:val="center"/>
            </w:pPr>
            <w:r>
              <w:rPr>
                <w:rFonts w:ascii="Arial" w:cs="Arial" w:eastAsia="Arial" w:hAnsi="Arial"/>
                <w:b/>
                <w:bCs/>
                <w:color w:val="FFFFFF"/>
                <w:sz w:val="36"/>
                <w:szCs w:val="36"/>
              </w:rPr>
              <w:t xml:space="preserve">166</w:t>
            </w:r>
          </w:p>
          <w:p>
            <w:pPr>
              <w:spacing w:after="0" w:before="0"/>
              <w:jc w:val="center"/>
            </w:pPr>
            <w:r>
              <w:rPr>
                <w:rFonts w:ascii="Arial" w:cs="Arial" w:eastAsia="Arial" w:hAnsi="Arial"/>
                <w:color w:val="AAAAAA"/>
                <w:sz w:val="17"/>
                <w:szCs w:val="17"/>
              </w:rPr>
              <w:t xml:space="preserve">Total Alerts</w:t>
            </w:r>
          </w:p>
        </w:tc>
        <w:tc>
          <w:tcPr>
            <w:tcW w:type="dxa" w:w="2256"/>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tcPr>
          <w:p>
            <w:pPr>
              <w:spacing w:after="20" w:before="0"/>
              <w:jc w:val="center"/>
            </w:pPr>
            <w:r>
              <w:rPr>
                <w:rFonts w:ascii="Arial" w:cs="Arial" w:eastAsia="Arial" w:hAnsi="Arial"/>
                <w:b/>
                <w:bCs/>
                <w:color w:val="FFFFFF"/>
                <w:sz w:val="36"/>
                <w:szCs w:val="36"/>
              </w:rPr>
              <w:t xml:space="preserve">20</w:t>
            </w:r>
          </w:p>
          <w:p>
            <w:pPr>
              <w:spacing w:after="0" w:before="0"/>
              <w:jc w:val="center"/>
            </w:pPr>
            <w:r>
              <w:rPr>
                <w:rFonts w:ascii="Arial" w:cs="Arial" w:eastAsia="Arial" w:hAnsi="Arial"/>
                <w:color w:val="AAAAAA"/>
                <w:sz w:val="17"/>
                <w:szCs w:val="17"/>
              </w:rPr>
              <w:t xml:space="preserve">CRITICAL</w:t>
            </w:r>
          </w:p>
        </w:tc>
        <w:tc>
          <w:tcPr>
            <w:tcW w:type="dxa" w:w="2256"/>
            <w:tcBorders>
              <w:top w:val="single" w:color="CCCCCC" w:sz="1"/>
              <w:left w:val="single" w:color="CCCCCC" w:sz="1"/>
              <w:bottom w:val="single" w:color="CCCCCC" w:sz="1"/>
              <w:right w:val="single" w:color="CCCCCC" w:sz="1"/>
            </w:tcBorders>
            <w:shd w:fill="0D1B3E" w:val="clear"/>
            <w:tcMar>
              <w:top w:type="dxa" w:w="120"/>
              <w:left w:type="dxa" w:w="140"/>
              <w:bottom w:type="dxa" w:w="120"/>
              <w:right w:type="dxa" w:w="140"/>
            </w:tcMar>
          </w:tcPr>
          <w:p>
            <w:pPr>
              <w:spacing w:after="20" w:before="0"/>
              <w:jc w:val="center"/>
            </w:pPr>
            <w:r>
              <w:rPr>
                <w:rFonts w:ascii="Arial" w:cs="Arial" w:eastAsia="Arial" w:hAnsi="Arial"/>
                <w:b/>
                <w:bCs/>
                <w:color w:val="FFFFFF"/>
                <w:sz w:val="36"/>
                <w:szCs w:val="36"/>
              </w:rPr>
              <w:t xml:space="preserve">4</w:t>
            </w:r>
          </w:p>
          <w:p>
            <w:pPr>
              <w:spacing w:after="0" w:before="0"/>
              <w:jc w:val="center"/>
            </w:pPr>
            <w:r>
              <w:rPr>
                <w:rFonts w:ascii="Arial" w:cs="Arial" w:eastAsia="Arial" w:hAnsi="Arial"/>
                <w:color w:val="AAAAAA"/>
                <w:sz w:val="17"/>
                <w:szCs w:val="17"/>
              </w:rPr>
              <w:t xml:space="preserve">Incidents</w:t>
            </w:r>
          </w:p>
        </w:tc>
      </w:tr>
    </w:tbl>
    <w:p>
      <w:pPr>
        <w:spacing w:after="120" w:before="0"/>
      </w:pPr>
    </w:p>
    <w:p>
      <w:pPr>
        <w:spacing w:after="80" w:before="60"/>
      </w:pPr>
      <w:r>
        <w:rPr>
          <w:rFonts w:ascii="Arial" w:cs="Arial" w:eastAsia="Arial" w:hAnsi="Arial"/>
          <w:b/>
          <w:bCs/>
          <w:color w:val="1A1A2E"/>
          <w:sz w:val="20"/>
          <w:szCs w:val="20"/>
        </w:rPr>
        <w:t xml:space="preserve">Event breakdown by severity and category:</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326"/>
      </w:tblGrid>
      <w:tr>
        <w:tc>
          <w:tcPr>
            <w:tcW w:type="dxa" w:w="28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Event Category</w:t>
            </w:r>
          </w:p>
        </w:tc>
        <w:tc>
          <w:tcPr>
            <w:tcW w:type="dxa" w:w="1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INFO</w:t>
            </w:r>
          </w:p>
        </w:tc>
        <w:tc>
          <w:tcPr>
            <w:tcW w:type="dxa" w:w="1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WARNING</w:t>
            </w:r>
          </w:p>
        </w:tc>
        <w:tc>
          <w:tcPr>
            <w:tcW w:type="dxa" w:w="1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HIGH</w:t>
            </w:r>
          </w:p>
        </w:tc>
        <w:tc>
          <w:tcPr>
            <w:tcW w:type="dxa" w:w="2326"/>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Authentication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41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20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Network</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20</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25</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System</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67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Firewall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20</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r>
      <w:tr>
        <w:tc>
          <w:tcPr>
            <w:tcW w:type="dxa" w:w="28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Malware / C2</w:t>
            </w:r>
          </w:p>
        </w:tc>
        <w:tc>
          <w:tcPr>
            <w:tcW w:type="dxa" w:w="13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c>
          <w:tcPr>
            <w:tcW w:type="dxa" w:w="13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c>
          <w:tcPr>
            <w:tcW w:type="dxa" w:w="130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c>
          <w:tcPr>
            <w:tcW w:type="dxa" w:w="2326"/>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Data Transfer</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15</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0</w:t>
            </w:r>
          </w:p>
        </w:tc>
      </w:tr>
      <w:tr>
        <w:tc>
          <w:tcPr>
            <w:tcW w:type="dxa" w:w="28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TOTAL</w:t>
            </w:r>
          </w:p>
        </w:tc>
        <w:tc>
          <w:tcPr>
            <w:tcW w:type="dxa" w:w="1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354</w:t>
            </w:r>
          </w:p>
        </w:tc>
        <w:tc>
          <w:tcPr>
            <w:tcW w:type="dxa" w:w="1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91 (33 FP)</w:t>
            </w:r>
          </w:p>
        </w:tc>
        <w:tc>
          <w:tcPr>
            <w:tcW w:type="dxa" w:w="13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55</w:t>
            </w:r>
          </w:p>
        </w:tc>
        <w:tc>
          <w:tcPr>
            <w:tcW w:type="dxa" w:w="2326"/>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20</w:t>
            </w:r>
          </w:p>
        </w:tc>
      </w:tr>
    </w:tbl>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2. INCIDENT IR-001 — C2 COMMAND &amp; CONTROL COMMUNICATION  [CRITICAL]</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Report 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IR-2025-OCT-001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Date &amp; Time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October 2025, 01:10 – 23:55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Severity</w:t>
            </w:r>
          </w:p>
        </w:tc>
        <w:tc>
          <w:tcPr>
            <w:tcW w:type="dxa" w:w="6426"/>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spacing w:after="0" w:before="0"/>
            </w:pPr>
            <w:r>
              <w:rPr>
                <w:rFonts w:ascii="Arial" w:cs="Arial" w:eastAsia="Arial" w:hAnsi="Arial"/>
                <w:b/>
                <w:bCs/>
                <w:color w:val="A32D2D"/>
                <w:sz w:val="19"/>
                <w:szCs w:val="19"/>
              </w:rPr>
              <w:t xml:space="preserve">CRITICAL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Incident Type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C2 Command &amp; Control Communication + Tor Exit Node Traffic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Attacker IPs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45.33.32.156 | 185.220.101.47 | 103.21.244.0 | 194.165.16.11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Internal Targets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192.168.1.11 through .19 (multiple workstations)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Ports Used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4444 (Metasploit) | 8080 (Alt-HTTP) | 9001 (Tor) | 1337 (RAT)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Total Events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20 (10 C2 Attempts + 10 Tor Traffic)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Action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C2 attempts BLOCKED | 10 Tor events ALLOWED — hosts may be compromised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MITRE ATT&amp;CK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T1071 (App Layer Protocol) | T1090.003 (Tor Proxy) | T1571 (Non-Standard Port)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Detection Tool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Splunk SIEM — Alerts ALT-1012, ALT-1041, ALT-1056, ALT-1108 + others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Status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A32D2D"/>
                <w:sz w:val="19"/>
                <w:szCs w:val="19"/>
              </w:rPr>
              <w:t xml:space="preserve">ESCALATED to L2 — host isolation recommended</w:t>
            </w:r>
          </w:p>
        </w:tc>
      </w:tr>
    </w:tbl>
    <w:p>
      <w:pPr>
        <w:spacing w:after="100" w:before="0"/>
      </w:pPr>
    </w:p>
    <w:p>
      <w:pPr>
        <w:spacing w:after="80" w:before="60"/>
      </w:pPr>
      <w:r>
        <w:rPr>
          <w:rFonts w:ascii="Arial" w:cs="Arial" w:eastAsia="Arial" w:hAnsi="Arial"/>
          <w:b/>
          <w:bCs/>
          <w:color w:val="0D1B3E"/>
          <w:sz w:val="20"/>
          <w:szCs w:val="20"/>
        </w:rPr>
        <w:t xml:space="preserve">Description:</w:t>
      </w:r>
    </w:p>
    <w:p>
      <w:pPr>
        <w:spacing w:after="80" w:before="60"/>
      </w:pPr>
      <w:r>
        <w:rPr>
          <w:rFonts w:ascii="Arial" w:cs="Arial" w:eastAsia="Arial" w:hAnsi="Arial"/>
          <w:color w:val="1A1A2E"/>
          <w:sz w:val="20"/>
          <w:szCs w:val="20"/>
        </w:rPr>
        <w:t xml:space="preserve">Four known malicious IPs launched sustained C2 communication attempts against multiple internal workstations throughout the monitoring period. Attackers used non-standard ports — notably port 4444 (Metasploit Meterpreter default) and port 1337 (RAT signature) — to attempt establishing reverse shell connections. Port 8080 was used to disguise C2 beacons as web traffic. Most critically, 10 Tor exit node traffic events on port 9001 were ALLOWED through the perimeter firewall, indicating active anonymous communication channels may have been established with internal hosts 192.168.1.12, .16, .17, .18, and .19.</w:t>
      </w:r>
    </w:p>
    <w:p>
      <w:pPr>
        <w:spacing w:after="60" w:before="0"/>
      </w:pPr>
    </w:p>
    <w:p>
      <w:pPr>
        <w:spacing w:after="80" w:before="60"/>
      </w:pPr>
      <w:r>
        <w:rPr>
          <w:rFonts w:ascii="Arial" w:cs="Arial" w:eastAsia="Arial" w:hAnsi="Arial"/>
          <w:b/>
          <w:bCs/>
          <w:color w:val="0D1B3E"/>
          <w:sz w:val="20"/>
          <w:szCs w:val="20"/>
        </w:rPr>
        <w:t xml:space="preserve">Key findings:</w:t>
      </w:r>
    </w:p>
    <w:p>
      <w:pPr>
        <w:pStyle w:val="ListParagraph"/>
        <w:numPr>
          <w:ilvl w:val="0"/>
          <w:numId w:val="2"/>
        </w:numPr>
        <w:spacing w:after="40" w:before="40"/>
      </w:pPr>
      <w:r>
        <w:rPr>
          <w:rFonts w:ascii="Arial" w:cs="Arial" w:eastAsia="Arial" w:hAnsi="Arial"/>
          <w:b w:val="false"/>
          <w:bCs w:val="false"/>
          <w:color w:val="1A1A2E"/>
          <w:sz w:val="19"/>
          <w:szCs w:val="19"/>
        </w:rPr>
        <w:t xml:space="preserve">Port 4444 used in 3 events — this is the Metasploit Meterpreter default listener port, a definitive hacker tool signature</w:t>
      </w:r>
    </w:p>
    <w:p>
      <w:pPr>
        <w:pStyle w:val="ListParagraph"/>
        <w:numPr>
          <w:ilvl w:val="0"/>
          <w:numId w:val="2"/>
        </w:numPr>
        <w:spacing w:after="40" w:before="40"/>
      </w:pPr>
      <w:r>
        <w:rPr>
          <w:rFonts w:ascii="Arial" w:cs="Arial" w:eastAsia="Arial" w:hAnsi="Arial"/>
          <w:b/>
          <w:bCs/>
          <w:color w:val="A32D2D"/>
          <w:sz w:val="19"/>
          <w:szCs w:val="19"/>
        </w:rPr>
        <w:t xml:space="preserve">10 Tor traffic events ALLOWED — firewall rules did not block Tor exit node traffic; these machines require immediate memory forensics</w:t>
      </w:r>
    </w:p>
    <w:p>
      <w:pPr>
        <w:pStyle w:val="ListParagraph"/>
        <w:numPr>
          <w:ilvl w:val="0"/>
          <w:numId w:val="2"/>
        </w:numPr>
        <w:spacing w:after="40" w:before="40"/>
      </w:pPr>
      <w:r>
        <w:rPr>
          <w:rFonts w:ascii="Arial" w:cs="Arial" w:eastAsia="Arial" w:hAnsi="Arial"/>
          <w:b w:val="false"/>
          <w:bCs w:val="false"/>
          <w:color w:val="1A1A2E"/>
          <w:sz w:val="19"/>
          <w:szCs w:val="19"/>
        </w:rPr>
        <w:t xml:space="preserve">45.33.32.156 was the most active attacker IP with 9 total events (C2 + Tor + Port Scan + Brute Force)</w:t>
      </w:r>
    </w:p>
    <w:p>
      <w:pPr>
        <w:pStyle w:val="ListParagraph"/>
        <w:numPr>
          <w:ilvl w:val="0"/>
          <w:numId w:val="2"/>
        </w:numPr>
        <w:spacing w:after="40" w:before="40"/>
      </w:pPr>
      <w:r>
        <w:rPr>
          <w:rFonts w:ascii="Arial" w:cs="Arial" w:eastAsia="Arial" w:hAnsi="Arial"/>
          <w:b w:val="false"/>
          <w:bCs w:val="false"/>
          <w:color w:val="1A1A2E"/>
          <w:sz w:val="19"/>
          <w:szCs w:val="19"/>
        </w:rPr>
        <w:t xml:space="preserve">svc_backup account associated with C2 event ALT-1056 — service accounts should not be generating external traffic</w:t>
      </w:r>
    </w:p>
    <w:p>
      <w:pPr>
        <w:spacing w:after="80" w:before="0"/>
      </w:pPr>
    </w:p>
    <w:p>
      <w:pPr>
        <w:spacing w:after="80" w:before="60"/>
      </w:pPr>
      <w:r>
        <w:rPr>
          <w:rFonts w:ascii="Arial" w:cs="Arial" w:eastAsia="Arial" w:hAnsi="Arial"/>
          <w:b/>
          <w:bCs/>
          <w:color w:val="0D1B3E"/>
          <w:sz w:val="20"/>
          <w:szCs w:val="20"/>
        </w:rPr>
        <w:t xml:space="preserve">Recommendations:</w:t>
      </w:r>
    </w:p>
    <w:p>
      <w:pPr>
        <w:pStyle w:val="ListParagraph"/>
        <w:numPr>
          <w:ilvl w:val="0"/>
          <w:numId w:val="2"/>
        </w:numPr>
        <w:spacing w:after="40" w:before="40"/>
      </w:pPr>
      <w:r>
        <w:rPr>
          <w:rFonts w:ascii="Arial" w:cs="Arial" w:eastAsia="Arial" w:hAnsi="Arial"/>
          <w:b w:val="false"/>
          <w:bCs w:val="false"/>
          <w:color w:val="1A1A2E"/>
          <w:sz w:val="19"/>
          <w:szCs w:val="19"/>
        </w:rPr>
        <w:t xml:space="preserve">Immediately isolate hosts 192.168.1.12, .16, .17, .18, .19 from the network</w:t>
      </w:r>
    </w:p>
    <w:p>
      <w:pPr>
        <w:pStyle w:val="ListParagraph"/>
        <w:numPr>
          <w:ilvl w:val="0"/>
          <w:numId w:val="2"/>
        </w:numPr>
        <w:spacing w:after="40" w:before="40"/>
      </w:pPr>
      <w:r>
        <w:rPr>
          <w:rFonts w:ascii="Arial" w:cs="Arial" w:eastAsia="Arial" w:hAnsi="Arial"/>
          <w:b w:val="false"/>
          <w:bCs w:val="false"/>
          <w:color w:val="1A1A2E"/>
          <w:sz w:val="19"/>
          <w:szCs w:val="19"/>
        </w:rPr>
        <w:t xml:space="preserve">Block all Tor exit node IP ranges at the perimeter firewall and add Tor port 9001 to the block list</w:t>
      </w:r>
    </w:p>
    <w:p>
      <w:pPr>
        <w:pStyle w:val="ListParagraph"/>
        <w:numPr>
          <w:ilvl w:val="0"/>
          <w:numId w:val="2"/>
        </w:numPr>
        <w:spacing w:after="40" w:before="40"/>
      </w:pPr>
      <w:r>
        <w:rPr>
          <w:rFonts w:ascii="Arial" w:cs="Arial" w:eastAsia="Arial" w:hAnsi="Arial"/>
          <w:b w:val="false"/>
          <w:bCs w:val="false"/>
          <w:color w:val="1A1A2E"/>
          <w:sz w:val="19"/>
          <w:szCs w:val="19"/>
        </w:rPr>
        <w:t xml:space="preserve">Block all traffic to/from 45.33.32.156, 185.220.101.47, 103.21.244.0, 194.165.16.11</w:t>
      </w:r>
    </w:p>
    <w:p>
      <w:pPr>
        <w:pStyle w:val="ListParagraph"/>
        <w:numPr>
          <w:ilvl w:val="0"/>
          <w:numId w:val="2"/>
        </w:numPr>
        <w:spacing w:after="40" w:before="40"/>
      </w:pPr>
      <w:r>
        <w:rPr>
          <w:rFonts w:ascii="Arial" w:cs="Arial" w:eastAsia="Arial" w:hAnsi="Arial"/>
          <w:b w:val="false"/>
          <w:bCs w:val="false"/>
          <w:color w:val="1A1A2E"/>
          <w:sz w:val="19"/>
          <w:szCs w:val="19"/>
        </w:rPr>
        <w:t xml:space="preserve">Conduct memory forensics on affected hosts using Volatility to check for active Meterpreter sessions</w:t>
      </w:r>
    </w:p>
    <w:p>
      <w:pPr>
        <w:pStyle w:val="ListParagraph"/>
        <w:numPr>
          <w:ilvl w:val="0"/>
          <w:numId w:val="2"/>
        </w:numPr>
        <w:spacing w:after="40" w:before="40"/>
      </w:pPr>
      <w:r>
        <w:rPr>
          <w:rFonts w:ascii="Arial" w:cs="Arial" w:eastAsia="Arial" w:hAnsi="Arial"/>
          <w:b w:val="false"/>
          <w:bCs w:val="false"/>
          <w:color w:val="1A1A2E"/>
          <w:sz w:val="19"/>
          <w:szCs w:val="19"/>
        </w:rPr>
        <w:t xml:space="preserve">Audit svc_backup account permissions and rotate credentials immediately</w:t>
      </w:r>
    </w:p>
    <w:p>
      <w:pPr>
        <w:pStyle w:val="ListParagraph"/>
        <w:numPr>
          <w:ilvl w:val="0"/>
          <w:numId w:val="2"/>
        </w:numPr>
        <w:spacing w:after="40" w:before="40"/>
      </w:pPr>
      <w:r>
        <w:rPr>
          <w:rFonts w:ascii="Arial" w:cs="Arial" w:eastAsia="Arial" w:hAnsi="Arial"/>
          <w:b w:val="false"/>
          <w:bCs w:val="false"/>
          <w:color w:val="1A1A2E"/>
          <w:sz w:val="19"/>
          <w:szCs w:val="19"/>
        </w:rPr>
        <w:t xml:space="preserve">Add detection rule: alert on any outbound traffic to port 4444, 1337 from internal hosts</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3. INCIDENT IR-002 — DISTRIBUTED SSH BRUTE FORCE ATTACK  [HIGH]</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Report 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IR-2025-OCT-002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Date &amp; Time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October 2025, 01:39 – 23:21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Severity</w:t>
            </w:r>
          </w:p>
        </w:tc>
        <w:tc>
          <w:tcPr>
            <w:tcW w:type="dxa" w:w="6426"/>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spacing w:after="0" w:before="0"/>
            </w:pPr>
            <w:r>
              <w:rPr>
                <w:rFonts w:ascii="Arial" w:cs="Arial" w:eastAsia="Arial" w:hAnsi="Arial"/>
                <w:b/>
                <w:bCs/>
                <w:color w:val="854F0B"/>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Incident Type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Distributed SSH Brute Force / Credential Stuffing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Attacker IPs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8 IPs: 91.108.4.0 (4x) | 194.165.16.11 (3x) | 10.0.0.5 (3x) | 172.16.0.20 (3x) + 4 more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Internal IPs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10.0.0.5 | 172.16.0.20 — INTERNAL IPs launching attacks (compromised hosts)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Target Servers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10.0.0.1 and 10.0.0.2 — core internal servers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Port Targeted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SSH Port 22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Total Attempts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20 brute force events across 10 targeted user accounts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High-Risk Users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root (2x), admin (1x), svc_backup (3x), testuser (4x)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MITRE ATT&amp;CK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T1110 (Brute Force) | T1110.004 (Credential Stuffing) | T1021.004 (Remote Services: SSH)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Detection Tool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Splunk SIEM — First alert ALT-1060 at 01:39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Status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854F0B"/>
                <w:sz w:val="19"/>
                <w:szCs w:val="19"/>
              </w:rPr>
              <w:t xml:space="preserve">Partially contained — external IPs blocked, internal IPs under investigation</w:t>
            </w:r>
          </w:p>
        </w:tc>
      </w:tr>
    </w:tbl>
    <w:p>
      <w:pPr>
        <w:spacing w:after="100" w:before="0"/>
      </w:pPr>
    </w:p>
    <w:p>
      <w:pPr>
        <w:spacing w:after="80" w:before="60"/>
      </w:pPr>
      <w:r>
        <w:rPr>
          <w:rFonts w:ascii="Arial" w:cs="Arial" w:eastAsia="Arial" w:hAnsi="Arial"/>
          <w:b/>
          <w:bCs/>
          <w:color w:val="0D1B3E"/>
          <w:sz w:val="20"/>
          <w:szCs w:val="20"/>
        </w:rPr>
        <w:t xml:space="preserve">Description:</w:t>
      </w:r>
    </w:p>
    <w:p>
      <w:pPr>
        <w:spacing w:after="80" w:before="60"/>
      </w:pPr>
      <w:r>
        <w:rPr>
          <w:rFonts w:ascii="Arial" w:cs="Arial" w:eastAsia="Arial" w:hAnsi="Arial"/>
          <w:color w:val="1A1A2E"/>
          <w:sz w:val="20"/>
          <w:szCs w:val="20"/>
        </w:rPr>
        <w:t xml:space="preserve">A distributed brute force attack targeted the organisation's two primary servers (10.0.0.1 and 10.0.0.2) via SSH port 22 across the full monitoring day. Eight different source IPs were used — a classic credential stuffing pattern where the attacker rotates IPs to evade rate-limiting and account lockout policies. The most concerning finding is that two internal IP addresses — 10.0.0.5 and 172.16.0.20 — were among the attacking IPs, indicating either compromised internal machines being used as pivot points or insider threat activity. High-value accounts including root, admin, and svc_backup were repeatedly targeted.</w:t>
      </w:r>
    </w:p>
    <w:p>
      <w:pPr>
        <w:spacing w:after="60" w:before="0"/>
      </w:pPr>
    </w:p>
    <w:p>
      <w:pPr>
        <w:spacing w:after="80" w:before="60"/>
      </w:pPr>
      <w:r>
        <w:rPr>
          <w:rFonts w:ascii="Arial" w:cs="Arial" w:eastAsia="Arial" w:hAnsi="Arial"/>
          <w:b/>
          <w:bCs/>
          <w:color w:val="0D1B3E"/>
          <w:sz w:val="20"/>
          <w:szCs w:val="20"/>
        </w:rPr>
        <w:t xml:space="preserve">Timeline highlights:</w:t>
      </w:r>
    </w:p>
    <w:p>
      <w:pPr>
        <w:pStyle w:val="ListParagraph"/>
        <w:numPr>
          <w:ilvl w:val="0"/>
          <w:numId w:val="2"/>
        </w:numPr>
        <w:spacing w:after="40" w:before="40"/>
      </w:pPr>
      <w:r>
        <w:rPr>
          <w:rFonts w:ascii="Arial" w:cs="Arial" w:eastAsia="Arial" w:hAnsi="Arial"/>
          <w:b w:val="false"/>
          <w:bCs w:val="false"/>
          <w:color w:val="1A1A2E"/>
          <w:sz w:val="19"/>
          <w:szCs w:val="19"/>
        </w:rPr>
        <w:t xml:space="preserve">01:39 UTC — First brute force attempt from 194.165.16.11 targeting testuser (ALT-1060)</w:t>
      </w:r>
    </w:p>
    <w:p>
      <w:pPr>
        <w:pStyle w:val="ListParagraph"/>
        <w:numPr>
          <w:ilvl w:val="0"/>
          <w:numId w:val="2"/>
        </w:numPr>
        <w:spacing w:after="40" w:before="40"/>
      </w:pPr>
      <w:r>
        <w:rPr>
          <w:rFonts w:ascii="Arial" w:cs="Arial" w:eastAsia="Arial" w:hAnsi="Arial"/>
          <w:b w:val="false"/>
          <w:bCs w:val="false"/>
          <w:color w:val="1A1A2E"/>
          <w:sz w:val="19"/>
          <w:szCs w:val="19"/>
        </w:rPr>
        <w:t xml:space="preserve">10:52 UTC — 91.108.4.0 targets admin account on 10.0.0.2 (ALT-1069) — privilege escalation risk</w:t>
      </w:r>
    </w:p>
    <w:p>
      <w:pPr>
        <w:pStyle w:val="ListParagraph"/>
        <w:numPr>
          <w:ilvl w:val="0"/>
          <w:numId w:val="2"/>
        </w:numPr>
        <w:spacing w:after="40" w:before="40"/>
      </w:pPr>
      <w:r>
        <w:rPr>
          <w:rFonts w:ascii="Arial" w:cs="Arial" w:eastAsia="Arial" w:hAnsi="Arial"/>
          <w:b w:val="false"/>
          <w:bCs w:val="false"/>
          <w:color w:val="1A1A2E"/>
          <w:sz w:val="19"/>
          <w:szCs w:val="19"/>
        </w:rPr>
        <w:t xml:space="preserve">11:10 UTC — Internal IP 10.0.0.5 attempts brute force against svc_backup — possible compromised host</w:t>
      </w:r>
    </w:p>
    <w:p>
      <w:pPr>
        <w:pStyle w:val="ListParagraph"/>
        <w:numPr>
          <w:ilvl w:val="0"/>
          <w:numId w:val="2"/>
        </w:numPr>
        <w:spacing w:after="40" w:before="40"/>
      </w:pPr>
      <w:r>
        <w:rPr>
          <w:rFonts w:ascii="Arial" w:cs="Arial" w:eastAsia="Arial" w:hAnsi="Arial"/>
          <w:b w:val="false"/>
          <w:bCs w:val="false"/>
          <w:color w:val="1A1A2E"/>
          <w:sz w:val="19"/>
          <w:szCs w:val="19"/>
        </w:rPr>
        <w:t xml:space="preserve">20:27 UTC — 91.108.4.0 targets root account (ALT-1065) — critical escalation risk</w:t>
      </w:r>
    </w:p>
    <w:p>
      <w:pPr>
        <w:pStyle w:val="ListParagraph"/>
        <w:numPr>
          <w:ilvl w:val="0"/>
          <w:numId w:val="2"/>
        </w:numPr>
        <w:spacing w:after="40" w:before="40"/>
      </w:pPr>
      <w:r>
        <w:rPr>
          <w:rFonts w:ascii="Arial" w:cs="Arial" w:eastAsia="Arial" w:hAnsi="Arial"/>
          <w:b w:val="false"/>
          <w:bCs w:val="false"/>
          <w:color w:val="1A1A2E"/>
          <w:sz w:val="19"/>
          <w:szCs w:val="19"/>
        </w:rPr>
        <w:t xml:space="preserve">23:21 UTC — 45.33.32.156 (Tor exit node) attempts brute force on svc_backup (ALT-1031)</w:t>
      </w:r>
    </w:p>
    <w:p>
      <w:pPr>
        <w:spacing w:after="80" w:before="0"/>
      </w:pPr>
    </w:p>
    <w:p>
      <w:pPr>
        <w:spacing w:after="80" w:before="60"/>
      </w:pPr>
      <w:r>
        <w:rPr>
          <w:rFonts w:ascii="Arial" w:cs="Arial" w:eastAsia="Arial" w:hAnsi="Arial"/>
          <w:b/>
          <w:bCs/>
          <w:color w:val="0D1B3E"/>
          <w:sz w:val="20"/>
          <w:szCs w:val="20"/>
        </w:rPr>
        <w:t xml:space="preserve">Recommendations:</w:t>
      </w:r>
    </w:p>
    <w:p>
      <w:pPr>
        <w:pStyle w:val="ListParagraph"/>
        <w:numPr>
          <w:ilvl w:val="0"/>
          <w:numId w:val="2"/>
        </w:numPr>
        <w:spacing w:after="40" w:before="40"/>
      </w:pPr>
      <w:r>
        <w:rPr>
          <w:rFonts w:ascii="Arial" w:cs="Arial" w:eastAsia="Arial" w:hAnsi="Arial"/>
          <w:b w:val="false"/>
          <w:bCs w:val="false"/>
          <w:color w:val="1A1A2E"/>
          <w:sz w:val="19"/>
          <w:szCs w:val="19"/>
        </w:rPr>
        <w:t xml:space="preserve">Disable root SSH login on all servers (PermitRootLogin no in sshd_config)</w:t>
      </w:r>
    </w:p>
    <w:p>
      <w:pPr>
        <w:pStyle w:val="ListParagraph"/>
        <w:numPr>
          <w:ilvl w:val="0"/>
          <w:numId w:val="2"/>
        </w:numPr>
        <w:spacing w:after="40" w:before="40"/>
      </w:pPr>
      <w:r>
        <w:rPr>
          <w:rFonts w:ascii="Arial" w:cs="Arial" w:eastAsia="Arial" w:hAnsi="Arial"/>
          <w:b w:val="false"/>
          <w:bCs w:val="false"/>
          <w:color w:val="1A1A2E"/>
          <w:sz w:val="19"/>
          <w:szCs w:val="19"/>
        </w:rPr>
        <w:t xml:space="preserve">Investigate and isolate internal hosts 10.0.0.5 and 172.16.0.20 immediately</w:t>
      </w:r>
    </w:p>
    <w:p>
      <w:pPr>
        <w:pStyle w:val="ListParagraph"/>
        <w:numPr>
          <w:ilvl w:val="0"/>
          <w:numId w:val="2"/>
        </w:numPr>
        <w:spacing w:after="40" w:before="40"/>
      </w:pPr>
      <w:r>
        <w:rPr>
          <w:rFonts w:ascii="Arial" w:cs="Arial" w:eastAsia="Arial" w:hAnsi="Arial"/>
          <w:b w:val="false"/>
          <w:bCs w:val="false"/>
          <w:color w:val="1A1A2E"/>
          <w:sz w:val="19"/>
          <w:szCs w:val="19"/>
        </w:rPr>
        <w:t xml:space="preserve">Implement fail2ban or equivalent — auto-block after 3 failed attempts</w:t>
      </w:r>
    </w:p>
    <w:p>
      <w:pPr>
        <w:pStyle w:val="ListParagraph"/>
        <w:numPr>
          <w:ilvl w:val="0"/>
          <w:numId w:val="2"/>
        </w:numPr>
        <w:spacing w:after="40" w:before="40"/>
      </w:pPr>
      <w:r>
        <w:rPr>
          <w:rFonts w:ascii="Arial" w:cs="Arial" w:eastAsia="Arial" w:hAnsi="Arial"/>
          <w:b w:val="false"/>
          <w:bCs w:val="false"/>
          <w:color w:val="1A1A2E"/>
          <w:sz w:val="19"/>
          <w:szCs w:val="19"/>
        </w:rPr>
        <w:t xml:space="preserve">Enforce MFA on SSH for all privileged accounts (root, admin, svc_backup)</w:t>
      </w:r>
    </w:p>
    <w:p>
      <w:pPr>
        <w:pStyle w:val="ListParagraph"/>
        <w:numPr>
          <w:ilvl w:val="0"/>
          <w:numId w:val="2"/>
        </w:numPr>
        <w:spacing w:after="40" w:before="40"/>
      </w:pPr>
      <w:r>
        <w:rPr>
          <w:rFonts w:ascii="Arial" w:cs="Arial" w:eastAsia="Arial" w:hAnsi="Arial"/>
          <w:b w:val="false"/>
          <w:bCs w:val="false"/>
          <w:color w:val="1A1A2E"/>
          <w:sz w:val="19"/>
          <w:szCs w:val="19"/>
        </w:rPr>
        <w:t xml:space="preserve">Move SSH to a non-standard port and restrict access to VPN users only</w:t>
      </w:r>
    </w:p>
    <w:p>
      <w:pPr>
        <w:pStyle w:val="ListParagraph"/>
        <w:numPr>
          <w:ilvl w:val="0"/>
          <w:numId w:val="2"/>
        </w:numPr>
        <w:spacing w:after="40" w:before="40"/>
      </w:pPr>
      <w:r>
        <w:rPr>
          <w:rFonts w:ascii="Arial" w:cs="Arial" w:eastAsia="Arial" w:hAnsi="Arial"/>
          <w:b w:val="false"/>
          <w:bCs w:val="false"/>
          <w:color w:val="1A1A2E"/>
          <w:sz w:val="19"/>
          <w:szCs w:val="19"/>
        </w:rPr>
        <w:t xml:space="preserve">Rotate credentials for all targeted accounts: testuser, raj.m, svc_backup, root, admin</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4. INCIDENT IR-003 — NETWORK PORT SCAN / RECONNAISSANCE  [HIGH]</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Report 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IR-2025-OCT-003</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Date &amp; Time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October 2025, 01:21 – 22:41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Severity</w:t>
            </w:r>
          </w:p>
        </w:tc>
        <w:tc>
          <w:tcPr>
            <w:tcW w:type="dxa" w:w="6426"/>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spacing w:after="0" w:before="0"/>
            </w:pPr>
            <w:r>
              <w:rPr>
                <w:rFonts w:ascii="Arial" w:cs="Arial" w:eastAsia="Arial" w:hAnsi="Arial"/>
                <w:b/>
                <w:bCs/>
                <w:color w:val="854F0B"/>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Incident Type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Network Reconnaissance — Port Scanning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Attacker IPs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185.220.101.47 (5x) | 103.21.244.0 (5x) | 45.33.32.156 (3x) | 194.165.16.11 (2x)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Targets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192.168.1.10 to .19 — internal workstation subnet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Ports Scanned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Various: 131, 203, 219, 222, 237, 273, 389, 408, 604, 650, 660, 823, 853, 912, 1005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Total Events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port scan events across the monitoring period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Purpose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Attacker mapping open ports and services before launching targeted exploits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MITRE ATT&amp;CK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T1046 (Network Service Discovery) | T1595 (Active Scanning)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Detection Tool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Splunk SIEM — First alert ALT-1137 at 01:21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Status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B5E20"/>
                <w:sz w:val="19"/>
                <w:szCs w:val="19"/>
              </w:rPr>
              <w:t xml:space="preserve">Contained — IPs blocked. Scanned hosts should be hardened</w:t>
            </w:r>
          </w:p>
        </w:tc>
      </w:tr>
    </w:tbl>
    <w:p>
      <w:pPr>
        <w:spacing w:after="100" w:before="0"/>
      </w:pPr>
    </w:p>
    <w:p>
      <w:pPr>
        <w:spacing w:after="80" w:before="60"/>
      </w:pPr>
      <w:r>
        <w:rPr>
          <w:rFonts w:ascii="Arial" w:cs="Arial" w:eastAsia="Arial" w:hAnsi="Arial"/>
          <w:b/>
          <w:bCs/>
          <w:color w:val="0D1B3E"/>
          <w:sz w:val="20"/>
          <w:szCs w:val="20"/>
        </w:rPr>
        <w:t xml:space="preserve">Description:</w:t>
      </w:r>
    </w:p>
    <w:p>
      <w:pPr>
        <w:spacing w:after="80" w:before="60"/>
      </w:pPr>
      <w:r>
        <w:rPr>
          <w:rFonts w:ascii="Arial" w:cs="Arial" w:eastAsia="Arial" w:hAnsi="Arial"/>
          <w:color w:val="1A1A2E"/>
          <w:sz w:val="20"/>
          <w:szCs w:val="20"/>
        </w:rPr>
        <w:t xml:space="preserve">The same four malicious IPs responsible for C2 and brute force activity conducted systematic port scanning against the internal 192.168.1.0/24 subnet. This reconnaissance activity preceded the C2 and brute force attempts — consistent with an attacker mapping the environment before launching targeted attacks. The scanned ports include LDAP (389), SSH (222), and several high-numbered non-standard ports, suggesting the attacker was checking for misconfigured services and open backdoors. This activity represents the reconnaissance phase of the MITRE ATT&amp;CK framework.</w:t>
      </w:r>
    </w:p>
    <w:p>
      <w:pPr>
        <w:spacing w:after="60" w:before="0"/>
      </w:pPr>
    </w:p>
    <w:p>
      <w:pPr>
        <w:spacing w:after="80" w:before="60"/>
      </w:pPr>
      <w:r>
        <w:rPr>
          <w:rFonts w:ascii="Arial" w:cs="Arial" w:eastAsia="Arial" w:hAnsi="Arial"/>
          <w:b/>
          <w:bCs/>
          <w:color w:val="0D1B3E"/>
          <w:sz w:val="20"/>
          <w:szCs w:val="20"/>
        </w:rPr>
        <w:t xml:space="preserve">Recommendations:</w:t>
      </w:r>
    </w:p>
    <w:p>
      <w:pPr>
        <w:pStyle w:val="ListParagraph"/>
        <w:numPr>
          <w:ilvl w:val="0"/>
          <w:numId w:val="2"/>
        </w:numPr>
        <w:spacing w:after="40" w:before="40"/>
      </w:pPr>
      <w:r>
        <w:rPr>
          <w:rFonts w:ascii="Arial" w:cs="Arial" w:eastAsia="Arial" w:hAnsi="Arial"/>
          <w:b w:val="false"/>
          <w:bCs w:val="false"/>
          <w:color w:val="1A1A2E"/>
          <w:sz w:val="19"/>
          <w:szCs w:val="19"/>
        </w:rPr>
        <w:t xml:space="preserve">Block all four scanning IPs at the perimeter firewall permanently</w:t>
      </w:r>
    </w:p>
    <w:p>
      <w:pPr>
        <w:pStyle w:val="ListParagraph"/>
        <w:numPr>
          <w:ilvl w:val="0"/>
          <w:numId w:val="2"/>
        </w:numPr>
        <w:spacing w:after="40" w:before="40"/>
      </w:pPr>
      <w:r>
        <w:rPr>
          <w:rFonts w:ascii="Arial" w:cs="Arial" w:eastAsia="Arial" w:hAnsi="Arial"/>
          <w:b w:val="false"/>
          <w:bCs w:val="false"/>
          <w:color w:val="1A1A2E"/>
          <w:sz w:val="19"/>
          <w:szCs w:val="19"/>
        </w:rPr>
        <w:t xml:space="preserve">Enable port scan detection rules in Splunk — alert on 5+ connection attempts to different ports from same IP within 60 seconds</w:t>
      </w:r>
    </w:p>
    <w:p>
      <w:pPr>
        <w:pStyle w:val="ListParagraph"/>
        <w:numPr>
          <w:ilvl w:val="0"/>
          <w:numId w:val="2"/>
        </w:numPr>
        <w:spacing w:after="40" w:before="40"/>
      </w:pPr>
      <w:r>
        <w:rPr>
          <w:rFonts w:ascii="Arial" w:cs="Arial" w:eastAsia="Arial" w:hAnsi="Arial"/>
          <w:b w:val="false"/>
          <w:bCs w:val="false"/>
          <w:color w:val="1A1A2E"/>
          <w:sz w:val="19"/>
          <w:szCs w:val="19"/>
        </w:rPr>
        <w:t xml:space="preserve">Audit and close all non-essential open ports on 192.168.1.0/24 subnet</w:t>
      </w:r>
    </w:p>
    <w:p>
      <w:pPr>
        <w:pStyle w:val="ListParagraph"/>
        <w:numPr>
          <w:ilvl w:val="0"/>
          <w:numId w:val="2"/>
        </w:numPr>
        <w:spacing w:after="40" w:before="40"/>
      </w:pPr>
      <w:r>
        <w:rPr>
          <w:rFonts w:ascii="Arial" w:cs="Arial" w:eastAsia="Arial" w:hAnsi="Arial"/>
          <w:b w:val="false"/>
          <w:bCs w:val="false"/>
          <w:color w:val="1A1A2E"/>
          <w:sz w:val="19"/>
          <w:szCs w:val="19"/>
        </w:rPr>
        <w:t xml:space="preserve">Deploy a network IDS/IPS (Snort/Suricata) for real-time port scan detection</w:t>
      </w:r>
    </w:p>
    <w:p>
      <w:pPr>
        <w:pStyle w:val="ListParagraph"/>
        <w:numPr>
          <w:ilvl w:val="0"/>
          <w:numId w:val="2"/>
        </w:numPr>
        <w:spacing w:after="40" w:before="40"/>
      </w:pPr>
      <w:r>
        <w:rPr>
          <w:rFonts w:ascii="Arial" w:cs="Arial" w:eastAsia="Arial" w:hAnsi="Arial"/>
          <w:b w:val="false"/>
          <w:bCs w:val="false"/>
          <w:color w:val="1A1A2E"/>
          <w:sz w:val="19"/>
          <w:szCs w:val="19"/>
        </w:rPr>
        <w:t xml:space="preserve">Ensure LDAP (389) is not accessible from external IPs</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5. INCIDENT IR-004 — PRIVILEGE ESCALATION  [HIGH]</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Report ID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IR-2025-OCT-004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Date &amp; Time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October 2025, 01:20 – 21:41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Severity</w:t>
            </w:r>
          </w:p>
        </w:tc>
        <w:tc>
          <w:tcPr>
            <w:tcW w:type="dxa" w:w="6426"/>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pPr>
              <w:spacing w:after="0" w:before="0"/>
            </w:pPr>
            <w:r>
              <w:rPr>
                <w:rFonts w:ascii="Arial" w:cs="Arial" w:eastAsia="Arial" w:hAnsi="Arial"/>
                <w:b/>
                <w:bCs/>
                <w:color w:val="854F0B"/>
                <w:sz w:val="19"/>
                <w:szCs w:val="19"/>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Incident Type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Privilege Escalation — Lateral Movement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Affected Users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jsmith (3 events) | testuser (4 events) | bkumar (2 events)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Source IPs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Internal: 192.168.1.10, .13, .14, .28, .39, .56, .57 | External: 45.33.32.156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Target Hosts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192.168.1.12, .16, .18, .22, .24, .26, .27</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Total Events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10 privilege escalation events — ALL ALLOWED (not blocked)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Critical Flag</w:t>
            </w:r>
          </w:p>
        </w:tc>
        <w:tc>
          <w:tcPr>
            <w:tcW w:type="dxa" w:w="6426"/>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spacing w:after="0" w:before="0"/>
            </w:pPr>
            <w:r>
              <w:rPr>
                <w:rFonts w:ascii="Arial" w:cs="Arial" w:eastAsia="Arial" w:hAnsi="Arial"/>
                <w:b/>
                <w:bCs/>
                <w:color w:val="A32D2D"/>
                <w:sz w:val="19"/>
                <w:szCs w:val="19"/>
              </w:rPr>
              <w:t xml:space="preserve">45.33.32.156 (external malicious IP) triggered priv esc on 192.168.1.12 at 21:41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MITRE ATT&amp;CK</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T1068 (Exploitation for Privilege Escalation) | T1078 (Valid Accounts) | T1021 (Remote Services)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Detection Tool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Splunk SIEM — Alerts ALT-1018, ALT-1019, ALT-1030, ALT-1036 + others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Status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A32D2D"/>
                <w:sz w:val="19"/>
                <w:szCs w:val="19"/>
              </w:rPr>
              <w:t xml:space="preserve">ESCALATED — all 10 events were ALLOWED; affected hosts may be fully compromised</w:t>
            </w:r>
          </w:p>
        </w:tc>
      </w:tr>
    </w:tbl>
    <w:p>
      <w:pPr>
        <w:spacing w:after="100" w:before="0"/>
      </w:pPr>
    </w:p>
    <w:p>
      <w:pPr>
        <w:spacing w:after="80" w:before="60"/>
      </w:pPr>
      <w:r>
        <w:rPr>
          <w:rFonts w:ascii="Arial" w:cs="Arial" w:eastAsia="Arial" w:hAnsi="Arial"/>
          <w:b/>
          <w:bCs/>
          <w:color w:val="0D1B3E"/>
          <w:sz w:val="20"/>
          <w:szCs w:val="20"/>
        </w:rPr>
        <w:t xml:space="preserve">Description:</w:t>
      </w:r>
    </w:p>
    <w:p>
      <w:pPr>
        <w:spacing w:after="80" w:before="60"/>
      </w:pPr>
      <w:r>
        <w:rPr>
          <w:rFonts w:ascii="Arial" w:cs="Arial" w:eastAsia="Arial" w:hAnsi="Arial"/>
          <w:color w:val="1A1A2E"/>
          <w:sz w:val="20"/>
          <w:szCs w:val="20"/>
        </w:rPr>
        <w:t xml:space="preserve">Ten privilege escalation events were detected throughout the monitoring period, all of which were ALLOWED — meaning the escalation attempts were not blocked. The accounts most involved are testuser (4 events) and jsmith (3 events), both of which appear across multiple source hosts, suggesting either account compromise or deliberate misuse. The most critical event occurred at 21:41 UTC when external malicious IP 45.33.32.156 — the same Tor exit node linked to C2 and brute force activity — triggered a privilege escalation event against 192.168.1.12 using the jsmith account. This strongly suggests the jsmith account has been compromised and is being used by the external threat actor for lateral movement.</w:t>
      </w:r>
    </w:p>
    <w:p>
      <w:pPr>
        <w:spacing w:after="60" w:before="0"/>
      </w:pPr>
    </w:p>
    <w:p>
      <w:pPr>
        <w:spacing w:after="80" w:before="60"/>
      </w:pPr>
      <w:r>
        <w:rPr>
          <w:rFonts w:ascii="Arial" w:cs="Arial" w:eastAsia="Arial" w:hAnsi="Arial"/>
          <w:b/>
          <w:bCs/>
          <w:color w:val="0D1B3E"/>
          <w:sz w:val="20"/>
          <w:szCs w:val="20"/>
        </w:rPr>
        <w:t xml:space="preserve">Key findings:</w:t>
      </w:r>
    </w:p>
    <w:p>
      <w:pPr>
        <w:pStyle w:val="ListParagraph"/>
        <w:numPr>
          <w:ilvl w:val="0"/>
          <w:numId w:val="2"/>
        </w:numPr>
        <w:spacing w:after="40" w:before="40"/>
      </w:pPr>
      <w:r>
        <w:rPr>
          <w:rFonts w:ascii="Arial" w:cs="Arial" w:eastAsia="Arial" w:hAnsi="Arial"/>
          <w:b/>
          <w:bCs/>
          <w:color w:val="A32D2D"/>
          <w:sz w:val="19"/>
          <w:szCs w:val="19"/>
        </w:rPr>
        <w:t xml:space="preserve">ALL 10 privilege escalation events were ALLOWED — no blocking in place; immediate policy change required</w:t>
      </w:r>
    </w:p>
    <w:p>
      <w:pPr>
        <w:pStyle w:val="ListParagraph"/>
        <w:numPr>
          <w:ilvl w:val="0"/>
          <w:numId w:val="2"/>
        </w:numPr>
        <w:spacing w:after="40" w:before="40"/>
      </w:pPr>
      <w:r>
        <w:rPr>
          <w:rFonts w:ascii="Arial" w:cs="Arial" w:eastAsia="Arial" w:hAnsi="Arial"/>
          <w:b w:val="false"/>
          <w:bCs w:val="false"/>
          <w:color w:val="1A1A2E"/>
          <w:sz w:val="19"/>
          <w:szCs w:val="19"/>
        </w:rPr>
        <w:t xml:space="preserve">testuser account involved in 4 escalation events — this account should not have escalation privileges</w:t>
      </w:r>
    </w:p>
    <w:p>
      <w:pPr>
        <w:pStyle w:val="ListParagraph"/>
        <w:numPr>
          <w:ilvl w:val="0"/>
          <w:numId w:val="2"/>
        </w:numPr>
        <w:spacing w:after="40" w:before="40"/>
      </w:pPr>
      <w:r>
        <w:rPr>
          <w:rFonts w:ascii="Arial" w:cs="Arial" w:eastAsia="Arial" w:hAnsi="Arial"/>
          <w:b w:val="false"/>
          <w:bCs w:val="false"/>
          <w:color w:val="1A1A2E"/>
          <w:sz w:val="19"/>
          <w:szCs w:val="19"/>
        </w:rPr>
        <w:t xml:space="preserve">jsmith account linked to external IP 45.33.32.156 — account is likely compromised</w:t>
      </w:r>
    </w:p>
    <w:p>
      <w:pPr>
        <w:pStyle w:val="ListParagraph"/>
        <w:numPr>
          <w:ilvl w:val="0"/>
          <w:numId w:val="2"/>
        </w:numPr>
        <w:spacing w:after="40" w:before="40"/>
      </w:pPr>
      <w:r>
        <w:rPr>
          <w:rFonts w:ascii="Arial" w:cs="Arial" w:eastAsia="Arial" w:hAnsi="Arial"/>
          <w:b w:val="false"/>
          <w:bCs w:val="false"/>
          <w:color w:val="1A1A2E"/>
          <w:sz w:val="19"/>
          <w:szCs w:val="19"/>
        </w:rPr>
        <w:t xml:space="preserve">Pattern aligns with post-exploitation lateral movement following C2 establishment (IR-001)</w:t>
      </w:r>
    </w:p>
    <w:p>
      <w:pPr>
        <w:spacing w:after="80" w:before="0"/>
      </w:pPr>
    </w:p>
    <w:p>
      <w:pPr>
        <w:spacing w:after="80" w:before="60"/>
      </w:pPr>
      <w:r>
        <w:rPr>
          <w:rFonts w:ascii="Arial" w:cs="Arial" w:eastAsia="Arial" w:hAnsi="Arial"/>
          <w:b/>
          <w:bCs/>
          <w:color w:val="0D1B3E"/>
          <w:sz w:val="20"/>
          <w:szCs w:val="20"/>
        </w:rPr>
        <w:t xml:space="preserve">Recommendations:</w:t>
      </w:r>
    </w:p>
    <w:p>
      <w:pPr>
        <w:pStyle w:val="ListParagraph"/>
        <w:numPr>
          <w:ilvl w:val="0"/>
          <w:numId w:val="2"/>
        </w:numPr>
        <w:spacing w:after="40" w:before="40"/>
      </w:pPr>
      <w:r>
        <w:rPr>
          <w:rFonts w:ascii="Arial" w:cs="Arial" w:eastAsia="Arial" w:hAnsi="Arial"/>
          <w:b w:val="false"/>
          <w:bCs w:val="false"/>
          <w:color w:val="1A1A2E"/>
          <w:sz w:val="19"/>
          <w:szCs w:val="19"/>
        </w:rPr>
        <w:t xml:space="preserve">Immediately disable jsmith and testuser accounts pending investigation</w:t>
      </w:r>
    </w:p>
    <w:p>
      <w:pPr>
        <w:pStyle w:val="ListParagraph"/>
        <w:numPr>
          <w:ilvl w:val="0"/>
          <w:numId w:val="2"/>
        </w:numPr>
        <w:spacing w:after="40" w:before="40"/>
      </w:pPr>
      <w:r>
        <w:rPr>
          <w:rFonts w:ascii="Arial" w:cs="Arial" w:eastAsia="Arial" w:hAnsi="Arial"/>
          <w:b w:val="false"/>
          <w:bCs w:val="false"/>
          <w:color w:val="1A1A2E"/>
          <w:sz w:val="19"/>
          <w:szCs w:val="19"/>
        </w:rPr>
        <w:t xml:space="preserve">Implement Privileged Access Management (PAM) — require MFA for any privilege escalation</w:t>
      </w:r>
    </w:p>
    <w:p>
      <w:pPr>
        <w:pStyle w:val="ListParagraph"/>
        <w:numPr>
          <w:ilvl w:val="0"/>
          <w:numId w:val="2"/>
        </w:numPr>
        <w:spacing w:after="40" w:before="40"/>
      </w:pPr>
      <w:r>
        <w:rPr>
          <w:rFonts w:ascii="Arial" w:cs="Arial" w:eastAsia="Arial" w:hAnsi="Arial"/>
          <w:b w:val="false"/>
          <w:bCs w:val="false"/>
          <w:color w:val="1A1A2E"/>
          <w:sz w:val="19"/>
          <w:szCs w:val="19"/>
        </w:rPr>
        <w:t xml:space="preserve">Enable alerting and auto-blocking on privilege escalation events in SIEM</w:t>
      </w:r>
    </w:p>
    <w:p>
      <w:pPr>
        <w:pStyle w:val="ListParagraph"/>
        <w:numPr>
          <w:ilvl w:val="0"/>
          <w:numId w:val="2"/>
        </w:numPr>
        <w:spacing w:after="40" w:before="40"/>
      </w:pPr>
      <w:r>
        <w:rPr>
          <w:rFonts w:ascii="Arial" w:cs="Arial" w:eastAsia="Arial" w:hAnsi="Arial"/>
          <w:b w:val="false"/>
          <w:bCs w:val="false"/>
          <w:color w:val="1A1A2E"/>
          <w:sz w:val="19"/>
          <w:szCs w:val="19"/>
        </w:rPr>
        <w:t xml:space="preserve">Conduct forensic audit on all 10 affected hosts to determine extent of compromise</w:t>
      </w:r>
    </w:p>
    <w:p>
      <w:pPr>
        <w:pStyle w:val="ListParagraph"/>
        <w:numPr>
          <w:ilvl w:val="0"/>
          <w:numId w:val="2"/>
        </w:numPr>
        <w:spacing w:after="40" w:before="40"/>
      </w:pPr>
      <w:r>
        <w:rPr>
          <w:rFonts w:ascii="Arial" w:cs="Arial" w:eastAsia="Arial" w:hAnsi="Arial"/>
          <w:b w:val="false"/>
          <w:bCs w:val="false"/>
          <w:color w:val="1A1A2E"/>
          <w:sz w:val="19"/>
          <w:szCs w:val="19"/>
        </w:rPr>
        <w:t xml:space="preserve">Review and apply principle of least privilege across all user accounts</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6. FALSE POSITIVE ANALYSIS &amp; TRIAGE METHODOLOGY</w:t>
            </w:r>
          </w:p>
        </w:tc>
      </w:tr>
    </w:tbl>
    <w:p>
      <w:pPr>
        <w:spacing w:after="80" w:before="0"/>
      </w:pPr>
    </w:p>
    <w:p>
      <w:pPr>
        <w:spacing w:after="80" w:before="60"/>
      </w:pPr>
      <w:r>
        <w:rPr>
          <w:rFonts w:ascii="Arial" w:cs="Arial" w:eastAsia="Arial" w:hAnsi="Arial"/>
          <w:color w:val="1A1A2E"/>
          <w:sz w:val="20"/>
          <w:szCs w:val="20"/>
        </w:rPr>
        <w:t xml:space="preserve">Out of 91 WARNING-severity alerts, 33 were classified as false positives (~36%), successfully demonstrating effective triage and reducing analyst noise. The following categories were identified as false positives: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c>
          <w:tcPr>
            <w:tcW w:type="dxa" w:w="2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False Positive Category</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Event Type</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Count</w:t>
            </w:r>
          </w:p>
        </w:tc>
        <w:tc>
          <w:tcPr>
            <w:tcW w:type="dxa" w:w="2626"/>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Triage 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Whitelisted Scanner IP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Port Scan / Connection Block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8</w:t>
            </w:r>
          </w:p>
        </w:tc>
        <w:tc>
          <w:tcPr>
            <w:tcW w:type="dxa" w:w="2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Approved vulnerability scanner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Scheduled Backup Job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Large File Transfer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10</w:t>
            </w:r>
          </w:p>
        </w:tc>
        <w:tc>
          <w:tcPr>
            <w:tcW w:type="dxa" w:w="2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svc_backup running nightly backup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Known Service Account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Failed Login / Connection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15</w:t>
            </w:r>
          </w:p>
        </w:tc>
        <w:tc>
          <w:tcPr>
            <w:tcW w:type="dxa" w:w="2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1A1A2E"/>
                <w:sz w:val="17"/>
                <w:szCs w:val="17"/>
              </w:rPr>
              <w:t xml:space="preserve">Service account auth using cert</w:t>
            </w:r>
          </w:p>
        </w:tc>
      </w:tr>
      <w:tr>
        <w:tc>
          <w:tcPr>
            <w:tcW w:type="dxa" w:w="2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TOTAL FP</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33</w:t>
            </w:r>
          </w:p>
        </w:tc>
        <w:tc>
          <w:tcPr>
            <w:tcW w:type="dxa" w:w="2626"/>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~36% of WARNING alerts</w:t>
            </w:r>
          </w:p>
        </w:tc>
      </w:tr>
    </w:tbl>
    <w:p>
      <w:pPr>
        <w:spacing w:after="100" w:before="0"/>
      </w:pPr>
    </w:p>
    <w:p>
      <w:pPr>
        <w:spacing w:after="80" w:before="60"/>
      </w:pPr>
      <w:r>
        <w:rPr>
          <w:rFonts w:ascii="Arial" w:cs="Arial" w:eastAsia="Arial" w:hAnsi="Arial"/>
          <w:b/>
          <w:bCs/>
          <w:color w:val="0D1B3E"/>
          <w:sz w:val="20"/>
          <w:szCs w:val="20"/>
        </w:rPr>
        <w:t xml:space="preserve">Triage methodology used:</w:t>
      </w:r>
    </w:p>
    <w:p>
      <w:pPr>
        <w:pStyle w:val="ListParagraph"/>
        <w:numPr>
          <w:ilvl w:val="0"/>
          <w:numId w:val="2"/>
        </w:numPr>
        <w:spacing w:after="40" w:before="40"/>
      </w:pPr>
      <w:r>
        <w:rPr>
          <w:rFonts w:ascii="Arial" w:cs="Arial" w:eastAsia="Arial" w:hAnsi="Arial"/>
          <w:b w:val="false"/>
          <w:bCs w:val="false"/>
          <w:color w:val="1A1A2E"/>
          <w:sz w:val="19"/>
          <w:szCs w:val="19"/>
        </w:rPr>
        <w:t xml:space="preserve">Step 1 — Check source IP against internal whitelist (known scanners, backup agents, monitoring tools)</w:t>
      </w:r>
    </w:p>
    <w:p>
      <w:pPr>
        <w:pStyle w:val="ListParagraph"/>
        <w:numPr>
          <w:ilvl w:val="0"/>
          <w:numId w:val="2"/>
        </w:numPr>
        <w:spacing w:after="40" w:before="40"/>
      </w:pPr>
      <w:r>
        <w:rPr>
          <w:rFonts w:ascii="Arial" w:cs="Arial" w:eastAsia="Arial" w:hAnsi="Arial"/>
          <w:b w:val="false"/>
          <w:bCs w:val="false"/>
          <w:color w:val="1A1A2E"/>
          <w:sz w:val="19"/>
          <w:szCs w:val="19"/>
        </w:rPr>
        <w:t xml:space="preserve">Step 2 — Correlate event time with scheduled job calendar (backup windows, patch cycles)</w:t>
      </w:r>
    </w:p>
    <w:p>
      <w:pPr>
        <w:pStyle w:val="ListParagraph"/>
        <w:numPr>
          <w:ilvl w:val="0"/>
          <w:numId w:val="2"/>
        </w:numPr>
        <w:spacing w:after="40" w:before="40"/>
      </w:pPr>
      <w:r>
        <w:rPr>
          <w:rFonts w:ascii="Arial" w:cs="Arial" w:eastAsia="Arial" w:hAnsi="Arial"/>
          <w:b w:val="false"/>
          <w:bCs w:val="false"/>
          <w:color w:val="1A1A2E"/>
          <w:sz w:val="19"/>
          <w:szCs w:val="19"/>
        </w:rPr>
        <w:t xml:space="preserve">Step 3 — Cross-reference username with service account list (svc_backup, svc_monitor)</w:t>
      </w:r>
    </w:p>
    <w:p>
      <w:pPr>
        <w:pStyle w:val="ListParagraph"/>
        <w:numPr>
          <w:ilvl w:val="0"/>
          <w:numId w:val="2"/>
        </w:numPr>
        <w:spacing w:after="40" w:before="40"/>
      </w:pPr>
      <w:r>
        <w:rPr>
          <w:rFonts w:ascii="Arial" w:cs="Arial" w:eastAsia="Arial" w:hAnsi="Arial"/>
          <w:b w:val="false"/>
          <w:bCs w:val="false"/>
          <w:color w:val="1A1A2E"/>
          <w:sz w:val="19"/>
          <w:szCs w:val="19"/>
        </w:rPr>
        <w:t xml:space="preserve">Step 4 — If all three checks pass → classify as False Positive, document reasoning in analyst_note field</w:t>
      </w:r>
    </w:p>
    <w:p>
      <w:pPr>
        <w:pStyle w:val="ListParagraph"/>
        <w:numPr>
          <w:ilvl w:val="0"/>
          <w:numId w:val="2"/>
        </w:numPr>
        <w:spacing w:after="40" w:before="40"/>
      </w:pPr>
      <w:r>
        <w:rPr>
          <w:rFonts w:ascii="Arial" w:cs="Arial" w:eastAsia="Arial" w:hAnsi="Arial"/>
          <w:b w:val="false"/>
          <w:bCs w:val="false"/>
          <w:color w:val="1A1A2E"/>
          <w:sz w:val="19"/>
          <w:szCs w:val="19"/>
        </w:rPr>
        <w:t xml:space="preserve">Step 5 — If any check fails → treat as True Positive, escalate per severity level</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3E" w:val="clear"/>
            <w:tcMar>
              <w:top w:type="dxa" w:w="120"/>
              <w:left w:type="dxa" w:w="180"/>
              <w:bottom w:type="dxa" w:w="120"/>
              <w:right w:type="dxa" w:w="180"/>
            </w:tcMar>
          </w:tcPr>
          <w:p>
            <w:pPr>
              <w:spacing w:after="0" w:before="0"/>
            </w:pPr>
            <w:r>
              <w:rPr>
                <w:rFonts w:ascii="Arial" w:cs="Arial" w:eastAsia="Arial" w:hAnsi="Arial"/>
                <w:b/>
                <w:bCs/>
                <w:color w:val="FFFFFF"/>
                <w:sz w:val="22"/>
                <w:szCs w:val="22"/>
              </w:rPr>
              <w:t xml:space="preserve">7. OVERALL ASSESSMENT &amp; RECOMMENDATIONS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single" w:color="A32D2D" w:sz="6"/>
              <w:left w:val="single" w:color="A32D2D" w:sz="6"/>
              <w:bottom w:val="single" w:color="A32D2D" w:sz="6"/>
              <w:right w:val="none" w:color="FFFFFF" w:sz="0"/>
            </w:tcBorders>
            <w:shd w:fill="FCEBEB" w:val="clear"/>
            <w:tcMar>
              <w:top w:type="dxa" w:w="100"/>
              <w:left w:type="dxa" w:w="120"/>
              <w:bottom w:type="dxa" w:w="100"/>
              <w:right w:type="dxa" w:w="60"/>
            </w:tcMar>
          </w:tcPr>
          <w:p>
            <w:pPr>
              <w:spacing w:after="0" w:before="0"/>
            </w:pPr>
            <w:r>
              <w:rPr>
                <w:rFonts w:ascii="Arial" w:cs="Arial" w:eastAsia="Arial" w:hAnsi="Arial"/>
                <w:b/>
                <w:bCs/>
                <w:color w:val="A32D2D"/>
                <w:sz w:val="26"/>
                <w:szCs w:val="26"/>
              </w:rPr>
              <w:t xml:space="preserve">!</w:t>
            </w:r>
          </w:p>
        </w:tc>
        <w:tc>
          <w:tcPr>
            <w:tcW w:type="dxa" w:w="8866"/>
            <w:tcBorders>
              <w:top w:val="single" w:color="A32D2D" w:sz="6"/>
              <w:left w:val="none" w:color="FFFFFF" w:sz="0"/>
              <w:bottom w:val="single" w:color="A32D2D" w:sz="6"/>
              <w:right w:val="single" w:color="A32D2D" w:sz="6"/>
            </w:tcBorders>
            <w:shd w:fill="FCEBEB" w:val="clear"/>
            <w:tcMar>
              <w:top w:type="dxa" w:w="100"/>
              <w:left w:type="dxa" w:w="120"/>
              <w:bottom w:type="dxa" w:w="100"/>
              <w:right w:type="dxa" w:w="120"/>
            </w:tcMar>
          </w:tcPr>
          <w:p>
            <w:pPr>
              <w:spacing w:after="0" w:before="0"/>
            </w:pPr>
            <w:r>
              <w:rPr>
                <w:rFonts w:ascii="Arial" w:cs="Arial" w:eastAsia="Arial" w:hAnsi="Arial"/>
                <w:color w:val="A32D2D"/>
                <w:sz w:val="19"/>
                <w:szCs w:val="19"/>
              </w:rPr>
              <w:t xml:space="preserve">The organisation is under an active, coordinated multi-vector attack. The same four malicious IPs are responsible for C2 communication, brute force, port scanning, and have triggered privilege escalation. This is not opportunistic — this is a targeted intrusion campaign. Immediate containment actions are required.</w:t>
            </w:r>
          </w:p>
        </w:tc>
      </w:tr>
    </w:tbl>
    <w:p>
      <w:pPr>
        <w:spacing w:after="100" w:before="0"/>
      </w:pPr>
    </w:p>
    <w:p>
      <w:pPr>
        <w:spacing w:after="80" w:before="60"/>
      </w:pPr>
      <w:r>
        <w:rPr>
          <w:rFonts w:ascii="Arial" w:cs="Arial" w:eastAsia="Arial" w:hAnsi="Arial"/>
          <w:b/>
          <w:bCs/>
          <w:color w:val="0D1B3E"/>
          <w:sz w:val="20"/>
          <w:szCs w:val="20"/>
        </w:rPr>
        <w:t xml:space="preserve">Priority actions (immediate):</w:t>
      </w:r>
    </w:p>
    <w:p>
      <w:pPr>
        <w:pStyle w:val="ListParagraph"/>
        <w:numPr>
          <w:ilvl w:val="0"/>
          <w:numId w:val="2"/>
        </w:numPr>
        <w:spacing w:after="40" w:before="40"/>
      </w:pPr>
      <w:r>
        <w:rPr>
          <w:rFonts w:ascii="Arial" w:cs="Arial" w:eastAsia="Arial" w:hAnsi="Arial"/>
          <w:b/>
          <w:bCs/>
          <w:color w:val="A32D2D"/>
          <w:sz w:val="19"/>
          <w:szCs w:val="19"/>
        </w:rPr>
        <w:t xml:space="preserve">P1 — Isolate hosts: 192.168.1.12, .15, .16, .17, .18, .19 from network</w:t>
      </w:r>
    </w:p>
    <w:p>
      <w:pPr>
        <w:pStyle w:val="ListParagraph"/>
        <w:numPr>
          <w:ilvl w:val="0"/>
          <w:numId w:val="2"/>
        </w:numPr>
        <w:spacing w:after="40" w:before="40"/>
      </w:pPr>
      <w:r>
        <w:rPr>
          <w:rFonts w:ascii="Arial" w:cs="Arial" w:eastAsia="Arial" w:hAnsi="Arial"/>
          <w:b/>
          <w:bCs/>
          <w:color w:val="A32D2D"/>
          <w:sz w:val="19"/>
          <w:szCs w:val="19"/>
        </w:rPr>
        <w:t xml:space="preserve">P1 — Block IPs: 45.33.32.156 | 185.220.101.47 | 103.21.244.0 | 194.165.16.11 at firewall</w:t>
      </w:r>
    </w:p>
    <w:p>
      <w:pPr>
        <w:pStyle w:val="ListParagraph"/>
        <w:numPr>
          <w:ilvl w:val="0"/>
          <w:numId w:val="2"/>
        </w:numPr>
        <w:spacing w:after="40" w:before="40"/>
      </w:pPr>
      <w:r>
        <w:rPr>
          <w:rFonts w:ascii="Arial" w:cs="Arial" w:eastAsia="Arial" w:hAnsi="Arial"/>
          <w:b/>
          <w:bCs/>
          <w:color w:val="A32D2D"/>
          <w:sz w:val="19"/>
          <w:szCs w:val="19"/>
        </w:rPr>
        <w:t xml:space="preserve">P1 — Disable accounts: jsmith | testuser pending compromise investigation</w:t>
      </w:r>
    </w:p>
    <w:p>
      <w:pPr>
        <w:pStyle w:val="ListParagraph"/>
        <w:numPr>
          <w:ilvl w:val="0"/>
          <w:numId w:val="2"/>
        </w:numPr>
        <w:spacing w:after="40" w:before="40"/>
      </w:pPr>
      <w:r>
        <w:rPr>
          <w:rFonts w:ascii="Arial" w:cs="Arial" w:eastAsia="Arial" w:hAnsi="Arial"/>
          <w:b w:val="false"/>
          <w:bCs w:val="false"/>
          <w:color w:val="1A1A2E"/>
          <w:sz w:val="19"/>
          <w:szCs w:val="19"/>
        </w:rPr>
        <w:t xml:space="preserve">P2 — Block Tor exit node ranges and add port 9001, 4444, 1337 to firewall block list</w:t>
      </w:r>
    </w:p>
    <w:p>
      <w:pPr>
        <w:pStyle w:val="ListParagraph"/>
        <w:numPr>
          <w:ilvl w:val="0"/>
          <w:numId w:val="2"/>
        </w:numPr>
        <w:spacing w:after="40" w:before="40"/>
      </w:pPr>
      <w:r>
        <w:rPr>
          <w:rFonts w:ascii="Arial" w:cs="Arial" w:eastAsia="Arial" w:hAnsi="Arial"/>
          <w:b w:val="false"/>
          <w:bCs w:val="false"/>
          <w:color w:val="1A1A2E"/>
          <w:sz w:val="19"/>
          <w:szCs w:val="19"/>
        </w:rPr>
        <w:t xml:space="preserve">P2 — Disable root SSH login on 10.0.0.1 and 10.0.0.2</w:t>
      </w:r>
    </w:p>
    <w:p>
      <w:pPr>
        <w:pStyle w:val="ListParagraph"/>
        <w:numPr>
          <w:ilvl w:val="0"/>
          <w:numId w:val="2"/>
        </w:numPr>
        <w:spacing w:after="40" w:before="40"/>
      </w:pPr>
      <w:r>
        <w:rPr>
          <w:rFonts w:ascii="Arial" w:cs="Arial" w:eastAsia="Arial" w:hAnsi="Arial"/>
          <w:b w:val="false"/>
          <w:bCs w:val="false"/>
          <w:color w:val="1A1A2E"/>
          <w:sz w:val="19"/>
          <w:szCs w:val="19"/>
        </w:rPr>
        <w:t xml:space="preserve">P3 — Implement MFA on all privileged accounts and SSH access</w:t>
      </w:r>
    </w:p>
    <w:p>
      <w:pPr>
        <w:pStyle w:val="ListParagraph"/>
        <w:numPr>
          <w:ilvl w:val="0"/>
          <w:numId w:val="2"/>
        </w:numPr>
        <w:spacing w:after="40" w:before="40"/>
      </w:pPr>
      <w:r>
        <w:rPr>
          <w:rFonts w:ascii="Arial" w:cs="Arial" w:eastAsia="Arial" w:hAnsi="Arial"/>
          <w:b w:val="false"/>
          <w:bCs w:val="false"/>
          <w:color w:val="1A1A2E"/>
          <w:sz w:val="19"/>
          <w:szCs w:val="19"/>
        </w:rPr>
        <w:t xml:space="preserve">P3 — Deploy Snort/Suricata IDS for real-time detection alongside Splunk SIEM</w:t>
      </w:r>
    </w:p>
    <w:p>
      <w:pPr>
        <w:pStyle w:val="ListParagraph"/>
        <w:numPr>
          <w:ilvl w:val="0"/>
          <w:numId w:val="2"/>
        </w:numPr>
        <w:spacing w:after="40" w:before="40"/>
      </w:pPr>
      <w:r>
        <w:rPr>
          <w:rFonts w:ascii="Arial" w:cs="Arial" w:eastAsia="Arial" w:hAnsi="Arial"/>
          <w:b w:val="false"/>
          <w:bCs w:val="false"/>
          <w:color w:val="1A1A2E"/>
          <w:sz w:val="19"/>
          <w:szCs w:val="19"/>
        </w:rPr>
        <w:t xml:space="preserve">P3 — Conduct full forensic investigation on 10.0.0.5 and 172.16.0.20 (internal attacking hosts)</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Report prepared by</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Asha Latha Sarkar, SOC Analyst L1 Intern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Organisation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Razz Security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Monitoring period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October 2025, 00:00 – 23:59 UTC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Tools used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Splunk SIEM, Wazuh, Wireshark, VirusTotal, AbuseIPDB</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Report date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15 October 2025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1B3E"/>
                <w:sz w:val="19"/>
                <w:szCs w:val="19"/>
              </w:rPr>
              <w:t xml:space="preserve">Classification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19"/>
                <w:szCs w:val="19"/>
              </w:rPr>
              <w:t xml:space="preserve">CONFIDENTIAL — Internal Use Only</w:t>
            </w:r>
          </w:p>
        </w:tc>
      </w:tr>
    </w:tbl>
    <w:p>
      <w:pPr>
        <w:spacing w:after="16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c>
        <w:tcPr>
          <w:tcW w:type="dxa" w:w="7226"/>
          <w:tcBorders>
            <w:top w:val="single" w:color="CCCCCC" w:sz="1"/>
            <w:left w:val="none" w:color="FFFFFF" w:sz="0"/>
            <w:bottom w:val="none" w:color="FFFFFF" w:sz="0"/>
            <w:right w:val="none" w:color="FFFFFF" w:sz="0"/>
          </w:tcBorders>
          <w:tcMar>
            <w:top w:type="dxa" w:w="60"/>
            <w:left w:type="dxa" w:w="0"/>
            <w:bottom w:type="dxa" w:w="0"/>
            <w:right w:type="dxa" w:w="0"/>
          </w:tcMar>
        </w:tcPr>
        <w:p>
          <w:pPr>
            <w:spacing w:after="0" w:before="0"/>
          </w:pPr>
          <w:r>
            <w:rPr>
              <w:rFonts w:ascii="Arial" w:cs="Arial" w:eastAsia="Arial" w:hAnsi="Arial"/>
              <w:color w:val="5F5E5A"/>
              <w:sz w:val="16"/>
              <w:szCs w:val="16"/>
            </w:rPr>
            <w:t xml:space="preserve">Analyst: Asha Latha Sarkar  |  SOC L1 Intern  |  15 October 2025</w:t>
          </w:r>
        </w:p>
      </w:tc>
      <w:tc>
        <w:tcPr>
          <w:tcW w:type="dxa" w:w="1800"/>
          <w:tcBorders>
            <w:top w:val="single" w:color="CCCCCC" w:sz="1"/>
            <w:left w:val="none" w:color="FFFFFF" w:sz="0"/>
            <w:bottom w:val="none" w:color="FFFFFF" w:sz="0"/>
            <w:right w:val="none" w:color="FFFFFF" w:sz="0"/>
          </w:tcBorders>
          <w:tcMar>
            <w:top w:type="dxa" w:w="60"/>
            <w:left w:type="dxa" w:w="0"/>
            <w:bottom w:type="dxa" w:w="0"/>
            <w:right w:type="dxa" w:w="0"/>
          </w:tcMar>
        </w:tcPr>
        <w:p>
          <w:pPr>
            <w:spacing w:after="0" w:before="0"/>
            <w:jc w:val="right"/>
          </w:pPr>
          <w:r>
            <w:rPr>
              <w:rFonts w:ascii="Arial" w:cs="Arial" w:eastAsia="Arial" w:hAnsi="Arial"/>
              <w:color w:val="5F5E5A"/>
              <w:sz w:val="16"/>
              <w:szCs w:val="16"/>
            </w:rPr>
            <w:t xml:space="preserve">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none" w:color="FFFFFF" w:sz="0"/>
            <w:left w:val="none" w:color="FFFFFF" w:sz="0"/>
            <w:bottom w:val="single" w:color="0D1B3E" w:sz="4"/>
            <w:right w:val="none" w:color="FFFFFF" w:sz="0"/>
          </w:tcBorders>
          <w:tcMar>
            <w:top w:type="dxa" w:w="60"/>
            <w:left w:type="dxa" w:w="0"/>
            <w:bottom w:type="dxa" w:w="60"/>
            <w:right w:type="dxa" w:w="0"/>
          </w:tcMar>
        </w:tcPr>
        <w:p>
          <w:pPr>
            <w:spacing w:after="0" w:before="0"/>
          </w:pPr>
          <w:r>
            <w:rPr>
              <w:rFonts w:ascii="Arial" w:cs="Arial" w:eastAsia="Arial" w:hAnsi="Arial"/>
              <w:b/>
              <w:bCs/>
              <w:color w:val="0D1B3E"/>
              <w:sz w:val="17"/>
              <w:szCs w:val="17"/>
            </w:rPr>
            <w:t xml:space="preserve">RAZZ SECURITY — SOC OPERATIONS</w:t>
          </w:r>
        </w:p>
      </w:tc>
      <w:tc>
        <w:tcPr>
          <w:tcW w:type="dxa" w:w="2400"/>
          <w:tcBorders>
            <w:top w:val="none" w:color="FFFFFF" w:sz="0"/>
            <w:left w:val="none" w:color="FFFFFF" w:sz="0"/>
            <w:bottom w:val="single" w:color="0D1B3E" w:sz="4"/>
            <w:right w:val="none" w:color="FFFFFF" w:sz="0"/>
          </w:tcBorders>
          <w:tcMar>
            <w:top w:type="dxa" w:w="60"/>
            <w:left w:type="dxa" w:w="0"/>
            <w:bottom w:type="dxa" w:w="60"/>
            <w:right w:type="dxa" w:w="0"/>
          </w:tcMar>
        </w:tcPr>
        <w:p>
          <w:pPr>
            <w:spacing w:after="0" w:before="0"/>
            <w:jc w:val="right"/>
          </w:pPr>
          <w:r>
            <w:rPr>
              <w:rFonts w:ascii="Arial" w:cs="Arial" w:eastAsia="Arial" w:hAnsi="Arial"/>
              <w:color w:val="A32D2D"/>
              <w:sz w:val="17"/>
              <w:szCs w:val="17"/>
            </w:rPr>
            <w:t xml:space="preserve">CONFIDENTIAL  |  IR-2025-OCT-001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2026-04-25T07:24:30.852Z</dcterms:created>
  <dcterms:modified xsi:type="dcterms:W3CDTF">2026-04-25T07:24:30.853Z</dcterms:modified>
</cp:coreProperties>
</file>

<file path=docProps/custom.xml><?xml version="1.0" encoding="utf-8"?>
<Properties xmlns="http://schemas.openxmlformats.org/officeDocument/2006/custom-properties" xmlns:vt="http://schemas.openxmlformats.org/officeDocument/2006/docPropsVTypes"/>
</file>