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1DA6D" w14:textId="77777777" w:rsidR="0022294E" w:rsidRPr="0022294E" w:rsidRDefault="0022294E" w:rsidP="0022294E">
      <w:pPr>
        <w:jc w:val="both"/>
        <w:rPr>
          <w:b/>
          <w:bCs/>
          <w:sz w:val="32"/>
          <w:szCs w:val="32"/>
          <w:lang w:val="en-IN"/>
        </w:rPr>
      </w:pPr>
      <w:r w:rsidRPr="0022294E">
        <w:rPr>
          <w:b/>
          <w:bCs/>
          <w:sz w:val="32"/>
          <w:szCs w:val="32"/>
          <w:lang w:val="en-IN"/>
        </w:rPr>
        <w:t>Executive Memo: Customer Churn Risk &amp; Retention Strategy</w:t>
      </w:r>
    </w:p>
    <w:p w14:paraId="7AA58A1F" w14:textId="5953B3C1" w:rsidR="0022294E" w:rsidRPr="0022294E" w:rsidRDefault="0022294E" w:rsidP="0022294E">
      <w:pPr>
        <w:jc w:val="both"/>
        <w:rPr>
          <w:sz w:val="28"/>
          <w:szCs w:val="28"/>
          <w:lang w:val="en-IN"/>
        </w:rPr>
      </w:pPr>
      <w:r w:rsidRPr="0022294E">
        <w:rPr>
          <w:b/>
          <w:bCs/>
          <w:sz w:val="28"/>
          <w:szCs w:val="28"/>
          <w:lang w:val="en-IN"/>
        </w:rPr>
        <w:t>Headline Finding:</w:t>
      </w:r>
      <w:r w:rsidRPr="0022294E">
        <w:rPr>
          <w:sz w:val="28"/>
          <w:szCs w:val="28"/>
          <w:lang w:val="en-IN"/>
        </w:rPr>
        <w:t xml:space="preserve"> </w:t>
      </w:r>
      <w:r w:rsidR="00D80E1A">
        <w:rPr>
          <w:sz w:val="28"/>
          <w:szCs w:val="28"/>
          <w:lang w:val="en-IN"/>
        </w:rPr>
        <w:t>The</w:t>
      </w:r>
      <w:r w:rsidRPr="0022294E">
        <w:rPr>
          <w:sz w:val="28"/>
          <w:szCs w:val="28"/>
          <w:lang w:val="en-IN"/>
        </w:rPr>
        <w:t xml:space="preserve"> analysis shows an overall churn rate of ~26%, with month</w:t>
      </w:r>
      <w:r w:rsidRPr="0022294E">
        <w:rPr>
          <w:sz w:val="28"/>
          <w:szCs w:val="28"/>
          <w:lang w:val="en-IN"/>
        </w:rPr>
        <w:noBreakHyphen/>
        <w:t>to</w:t>
      </w:r>
      <w:r w:rsidRPr="0022294E">
        <w:rPr>
          <w:sz w:val="28"/>
          <w:szCs w:val="28"/>
          <w:lang w:val="en-IN"/>
        </w:rPr>
        <w:noBreakHyphen/>
        <w:t xml:space="preserve">month customers driving the majority of attrition. In one sentence a CFO could repeat: </w:t>
      </w:r>
      <w:r w:rsidRPr="0022294E">
        <w:rPr>
          <w:i/>
          <w:iCs/>
          <w:sz w:val="28"/>
          <w:szCs w:val="28"/>
          <w:lang w:val="en-IN"/>
        </w:rPr>
        <w:t>“One in four of our customers is leaving, and short</w:t>
      </w:r>
      <w:r w:rsidRPr="0022294E">
        <w:rPr>
          <w:i/>
          <w:iCs/>
          <w:sz w:val="28"/>
          <w:szCs w:val="28"/>
          <w:lang w:val="en-IN"/>
        </w:rPr>
        <w:noBreakHyphen/>
        <w:t>term contracts are the biggest driver.”</w:t>
      </w:r>
    </w:p>
    <w:p w14:paraId="3BB0B149" w14:textId="77777777" w:rsidR="0022294E" w:rsidRPr="0022294E" w:rsidRDefault="0022294E" w:rsidP="0022294E">
      <w:pPr>
        <w:jc w:val="both"/>
        <w:rPr>
          <w:sz w:val="28"/>
          <w:szCs w:val="28"/>
          <w:lang w:val="en-IN"/>
        </w:rPr>
      </w:pPr>
      <w:r w:rsidRPr="0022294E">
        <w:rPr>
          <w:b/>
          <w:bCs/>
          <w:sz w:val="28"/>
          <w:szCs w:val="28"/>
          <w:lang w:val="en-IN"/>
        </w:rPr>
        <w:t>Segment Recommendation:</w:t>
      </w:r>
      <w:r w:rsidRPr="0022294E">
        <w:rPr>
          <w:sz w:val="28"/>
          <w:szCs w:val="28"/>
          <w:lang w:val="en-IN"/>
        </w:rPr>
        <w:t xml:space="preserve"> We recommend targeting </w:t>
      </w:r>
      <w:r w:rsidRPr="0022294E">
        <w:rPr>
          <w:b/>
          <w:bCs/>
          <w:sz w:val="28"/>
          <w:szCs w:val="28"/>
          <w:lang w:val="en-IN"/>
        </w:rPr>
        <w:t>Segment 0: new, low</w:t>
      </w:r>
      <w:r w:rsidRPr="0022294E">
        <w:rPr>
          <w:b/>
          <w:bCs/>
          <w:sz w:val="28"/>
          <w:szCs w:val="28"/>
          <w:lang w:val="en-IN"/>
        </w:rPr>
        <w:noBreakHyphen/>
        <w:t>spend, moderate</w:t>
      </w:r>
      <w:r w:rsidRPr="0022294E">
        <w:rPr>
          <w:b/>
          <w:bCs/>
          <w:sz w:val="28"/>
          <w:szCs w:val="28"/>
          <w:lang w:val="en-IN"/>
        </w:rPr>
        <w:noBreakHyphen/>
        <w:t>risk customers</w:t>
      </w:r>
      <w:r w:rsidRPr="0022294E">
        <w:rPr>
          <w:sz w:val="28"/>
          <w:szCs w:val="28"/>
          <w:lang w:val="en-IN"/>
        </w:rPr>
        <w:t xml:space="preserve"> first. While their current revenue contribution is modest, their churn probability is the highest. Retaining them early protects long</w:t>
      </w:r>
      <w:r w:rsidRPr="0022294E">
        <w:rPr>
          <w:sz w:val="28"/>
          <w:szCs w:val="28"/>
          <w:lang w:val="en-IN"/>
        </w:rPr>
        <w:noBreakHyphen/>
        <w:t>term lifetime value. The trade</w:t>
      </w:r>
      <w:r w:rsidRPr="0022294E">
        <w:rPr>
          <w:sz w:val="28"/>
          <w:szCs w:val="28"/>
          <w:lang w:val="en-IN"/>
        </w:rPr>
        <w:noBreakHyphen/>
        <w:t>off we weighed was between immediate revenue (Segment 1 high</w:t>
      </w:r>
      <w:r w:rsidRPr="0022294E">
        <w:rPr>
          <w:sz w:val="28"/>
          <w:szCs w:val="28"/>
          <w:lang w:val="en-IN"/>
        </w:rPr>
        <w:noBreakHyphen/>
        <w:t>spend customers) and future growth potential; Segment 0 offers the best balance of risk reduction and future upside.</w:t>
      </w:r>
    </w:p>
    <w:p w14:paraId="048E1843" w14:textId="77777777" w:rsidR="0022294E" w:rsidRPr="0022294E" w:rsidRDefault="0022294E" w:rsidP="0022294E">
      <w:pPr>
        <w:jc w:val="both"/>
        <w:rPr>
          <w:sz w:val="28"/>
          <w:szCs w:val="28"/>
          <w:lang w:val="en-IN"/>
        </w:rPr>
      </w:pPr>
      <w:r w:rsidRPr="0022294E">
        <w:rPr>
          <w:b/>
          <w:bCs/>
          <w:sz w:val="28"/>
          <w:szCs w:val="28"/>
          <w:lang w:val="en-IN"/>
        </w:rPr>
        <w:t>Monitoring:</w:t>
      </w:r>
      <w:r w:rsidRPr="0022294E">
        <w:rPr>
          <w:sz w:val="28"/>
          <w:szCs w:val="28"/>
          <w:lang w:val="en-IN"/>
        </w:rPr>
        <w:t xml:space="preserve"> After launch, we will track </w:t>
      </w:r>
      <w:r w:rsidRPr="0022294E">
        <w:rPr>
          <w:b/>
          <w:bCs/>
          <w:sz w:val="28"/>
          <w:szCs w:val="28"/>
          <w:lang w:val="en-IN"/>
        </w:rPr>
        <w:t>the churn rate among new month</w:t>
      </w:r>
      <w:r w:rsidRPr="0022294E">
        <w:rPr>
          <w:b/>
          <w:bCs/>
          <w:sz w:val="28"/>
          <w:szCs w:val="28"/>
          <w:lang w:val="en-IN"/>
        </w:rPr>
        <w:noBreakHyphen/>
        <w:t>to</w:t>
      </w:r>
      <w:r w:rsidRPr="0022294E">
        <w:rPr>
          <w:b/>
          <w:bCs/>
          <w:sz w:val="28"/>
          <w:szCs w:val="28"/>
          <w:lang w:val="en-IN"/>
        </w:rPr>
        <w:noBreakHyphen/>
        <w:t>month customers after pricing changes or competitor promotions</w:t>
      </w:r>
      <w:r w:rsidRPr="0022294E">
        <w:rPr>
          <w:sz w:val="28"/>
          <w:szCs w:val="28"/>
          <w:lang w:val="en-IN"/>
        </w:rPr>
        <w:t>. A sudden spike in this group’s churn would be a concrete signal that the model’s assumptions no longer hold and retraining is required.</w:t>
      </w:r>
    </w:p>
    <w:p w14:paraId="5A45748A" w14:textId="77777777" w:rsidR="0022294E" w:rsidRPr="0022294E" w:rsidRDefault="0022294E" w:rsidP="0022294E">
      <w:pPr>
        <w:jc w:val="both"/>
        <w:rPr>
          <w:sz w:val="28"/>
          <w:szCs w:val="28"/>
          <w:lang w:val="en-IN"/>
        </w:rPr>
      </w:pPr>
      <w:r w:rsidRPr="0022294E">
        <w:rPr>
          <w:b/>
          <w:bCs/>
          <w:sz w:val="28"/>
          <w:szCs w:val="28"/>
          <w:lang w:val="en-IN"/>
        </w:rPr>
        <w:t>Governance:</w:t>
      </w:r>
      <w:r w:rsidRPr="0022294E">
        <w:rPr>
          <w:sz w:val="28"/>
          <w:szCs w:val="28"/>
          <w:lang w:val="en-IN"/>
        </w:rPr>
        <w:t xml:space="preserve"> We will prove to auditors that Clause 4’s non</w:t>
      </w:r>
      <w:r w:rsidRPr="0022294E">
        <w:rPr>
          <w:sz w:val="28"/>
          <w:szCs w:val="28"/>
          <w:lang w:val="en-IN"/>
        </w:rPr>
        <w:noBreakHyphen/>
        <w:t>discrimination rule was enforced by maintaining logs that show every LLM explanation was generated only from risk score, tenure, and top features — with demographic fields excluded. This ensures compliance is verifiable from logs alone.</w:t>
      </w:r>
    </w:p>
    <w:p w14:paraId="3594C6CC" w14:textId="77777777" w:rsidR="0022294E" w:rsidRPr="0022294E" w:rsidRDefault="0022294E" w:rsidP="0022294E">
      <w:pPr>
        <w:jc w:val="both"/>
        <w:rPr>
          <w:sz w:val="28"/>
          <w:szCs w:val="28"/>
          <w:lang w:val="en-IN"/>
        </w:rPr>
      </w:pPr>
      <w:r w:rsidRPr="0022294E">
        <w:rPr>
          <w:b/>
          <w:bCs/>
          <w:sz w:val="28"/>
          <w:szCs w:val="28"/>
          <w:lang w:val="en-IN"/>
        </w:rPr>
        <w:t>Cost Control:</w:t>
      </w:r>
      <w:r w:rsidRPr="0022294E">
        <w:rPr>
          <w:sz w:val="28"/>
          <w:szCs w:val="28"/>
          <w:lang w:val="en-IN"/>
        </w:rPr>
        <w:t xml:space="preserve"> If the retention team wants explanations generated weekly for every at</w:t>
      </w:r>
      <w:r w:rsidRPr="0022294E">
        <w:rPr>
          <w:sz w:val="28"/>
          <w:szCs w:val="28"/>
          <w:lang w:val="en-IN"/>
        </w:rPr>
        <w:noBreakHyphen/>
        <w:t xml:space="preserve">risk customer, we will implement </w:t>
      </w:r>
      <w:r w:rsidRPr="0022294E">
        <w:rPr>
          <w:b/>
          <w:bCs/>
          <w:sz w:val="28"/>
          <w:szCs w:val="28"/>
          <w:lang w:val="en-IN"/>
        </w:rPr>
        <w:t>batch generation with caching of retrieval clauses</w:t>
      </w:r>
      <w:r w:rsidRPr="0022294E">
        <w:rPr>
          <w:sz w:val="28"/>
          <w:szCs w:val="28"/>
          <w:lang w:val="en-IN"/>
        </w:rPr>
        <w:t>. This reduces repeated API calls while preserving the citation guarantee from Task 6, cutting costs without compromising compliance.</w:t>
      </w:r>
    </w:p>
    <w:p w14:paraId="1D00BB7C" w14:textId="77777777" w:rsidR="000E3091" w:rsidRDefault="000E3091">
      <w:pPr>
        <w:rPr>
          <w:sz w:val="28"/>
          <w:szCs w:val="28"/>
        </w:rPr>
      </w:pPr>
    </w:p>
    <w:p w14:paraId="26A2E804" w14:textId="77777777" w:rsidR="00D80E1A" w:rsidRDefault="00D80E1A">
      <w:pPr>
        <w:rPr>
          <w:sz w:val="28"/>
          <w:szCs w:val="28"/>
        </w:rPr>
      </w:pPr>
    </w:p>
    <w:p w14:paraId="1BC23D08" w14:textId="77777777" w:rsidR="00D80E1A" w:rsidRDefault="00D80E1A">
      <w:pPr>
        <w:rPr>
          <w:sz w:val="28"/>
          <w:szCs w:val="28"/>
        </w:rPr>
      </w:pPr>
    </w:p>
    <w:p w14:paraId="3732991E" w14:textId="77777777" w:rsidR="00D80E1A" w:rsidRDefault="00D80E1A">
      <w:pPr>
        <w:rPr>
          <w:sz w:val="28"/>
          <w:szCs w:val="28"/>
        </w:rPr>
      </w:pPr>
    </w:p>
    <w:p w14:paraId="06A35D6F" w14:textId="2A03E575" w:rsidR="00D80E1A" w:rsidRPr="00D80E1A" w:rsidRDefault="00D80E1A" w:rsidP="00D80E1A">
      <w:pPr>
        <w:jc w:val="both"/>
        <w:rPr>
          <w:sz w:val="28"/>
          <w:szCs w:val="28"/>
          <w:lang w:val="en-IN"/>
        </w:rPr>
      </w:pPr>
      <w:r w:rsidRPr="00D80E1A">
        <w:rPr>
          <w:b/>
          <w:bCs/>
          <w:sz w:val="28"/>
          <w:szCs w:val="28"/>
          <w:lang w:val="en-IN"/>
        </w:rPr>
        <w:lastRenderedPageBreak/>
        <w:t>1. Total</w:t>
      </w:r>
      <w:r>
        <w:rPr>
          <w:b/>
          <w:bCs/>
          <w:sz w:val="28"/>
          <w:szCs w:val="28"/>
          <w:lang w:val="en-IN"/>
        </w:rPr>
        <w:t xml:space="preserve"> </w:t>
      </w:r>
      <w:r w:rsidRPr="00D80E1A">
        <w:rPr>
          <w:b/>
          <w:bCs/>
          <w:sz w:val="28"/>
          <w:szCs w:val="28"/>
          <w:lang w:val="en-IN"/>
        </w:rPr>
        <w:t>Charges fix and train</w:t>
      </w:r>
      <w:r w:rsidRPr="00D80E1A">
        <w:rPr>
          <w:b/>
          <w:bCs/>
          <w:sz w:val="28"/>
          <w:szCs w:val="28"/>
          <w:lang w:val="en-IN"/>
        </w:rPr>
        <w:noBreakHyphen/>
        <w:t>vs</w:t>
      </w:r>
      <w:r w:rsidRPr="00D80E1A">
        <w:rPr>
          <w:b/>
          <w:bCs/>
          <w:sz w:val="28"/>
          <w:szCs w:val="28"/>
          <w:lang w:val="en-IN"/>
        </w:rPr>
        <w:noBreakHyphen/>
        <w:t>test accuracy comparison</w:t>
      </w:r>
      <w:r w:rsidRPr="00D80E1A">
        <w:rPr>
          <w:sz w:val="28"/>
          <w:szCs w:val="28"/>
          <w:lang w:val="en-IN"/>
        </w:rPr>
        <w:t xml:space="preserve"> Some customer records had missing or inconsistent “Total</w:t>
      </w:r>
      <w:r>
        <w:rPr>
          <w:sz w:val="28"/>
          <w:szCs w:val="28"/>
          <w:lang w:val="en-IN"/>
        </w:rPr>
        <w:t xml:space="preserve"> </w:t>
      </w:r>
      <w:r w:rsidRPr="00D80E1A">
        <w:rPr>
          <w:sz w:val="28"/>
          <w:szCs w:val="28"/>
          <w:lang w:val="en-IN"/>
        </w:rPr>
        <w:t xml:space="preserve">Charges.” We fixed this by calculating it as </w:t>
      </w:r>
      <w:r w:rsidRPr="00D80E1A">
        <w:rPr>
          <w:i/>
          <w:iCs/>
          <w:sz w:val="28"/>
          <w:szCs w:val="28"/>
          <w:lang w:val="en-IN"/>
        </w:rPr>
        <w:t>Monthly</w:t>
      </w:r>
      <w:r>
        <w:rPr>
          <w:i/>
          <w:iCs/>
          <w:sz w:val="28"/>
          <w:szCs w:val="28"/>
          <w:lang w:val="en-IN"/>
        </w:rPr>
        <w:t xml:space="preserve"> </w:t>
      </w:r>
      <w:r w:rsidRPr="00D80E1A">
        <w:rPr>
          <w:i/>
          <w:iCs/>
          <w:sz w:val="28"/>
          <w:szCs w:val="28"/>
          <w:lang w:val="en-IN"/>
        </w:rPr>
        <w:t>Charges × tenure</w:t>
      </w:r>
      <w:r w:rsidRPr="00D80E1A">
        <w:rPr>
          <w:sz w:val="28"/>
          <w:szCs w:val="28"/>
          <w:lang w:val="en-IN"/>
        </w:rPr>
        <w:t xml:space="preserve"> so the numbers made sense. When we tested our model, it scored about the same on the training data and the test data (around 82–84% accuracy). That tells us the model is not just memorizing old data — it’s learning patterns that generalize well to new customers.</w:t>
      </w:r>
    </w:p>
    <w:p w14:paraId="44440DB7" w14:textId="77777777" w:rsidR="00D80E1A" w:rsidRPr="00D80E1A" w:rsidRDefault="00D80E1A" w:rsidP="00D80E1A">
      <w:pPr>
        <w:jc w:val="both"/>
        <w:rPr>
          <w:sz w:val="28"/>
          <w:szCs w:val="28"/>
          <w:lang w:val="en-IN"/>
        </w:rPr>
      </w:pPr>
      <w:r w:rsidRPr="00D80E1A">
        <w:rPr>
          <w:b/>
          <w:bCs/>
          <w:sz w:val="28"/>
          <w:szCs w:val="28"/>
          <w:lang w:val="en-IN"/>
        </w:rPr>
        <w:t>2. Why we recommended the segment in Task 5</w:t>
      </w:r>
      <w:r w:rsidRPr="00D80E1A">
        <w:rPr>
          <w:sz w:val="28"/>
          <w:szCs w:val="28"/>
          <w:lang w:val="en-IN"/>
        </w:rPr>
        <w:t xml:space="preserve"> We chose the segment of new, lower</w:t>
      </w:r>
      <w:r w:rsidRPr="00D80E1A">
        <w:rPr>
          <w:sz w:val="28"/>
          <w:szCs w:val="28"/>
          <w:lang w:val="en-IN"/>
        </w:rPr>
        <w:noBreakHyphen/>
        <w:t>spend customers with high churn risk. Even though they don’t bring in the most money right now, they are the most likely to leave. Keeping them early means they can grow into long</w:t>
      </w:r>
      <w:r w:rsidRPr="00D80E1A">
        <w:rPr>
          <w:sz w:val="28"/>
          <w:szCs w:val="28"/>
          <w:lang w:val="en-IN"/>
        </w:rPr>
        <w:noBreakHyphen/>
        <w:t>term, profitable customers. The trade</w:t>
      </w:r>
      <w:r w:rsidRPr="00D80E1A">
        <w:rPr>
          <w:sz w:val="28"/>
          <w:szCs w:val="28"/>
          <w:lang w:val="en-IN"/>
        </w:rPr>
        <w:noBreakHyphen/>
        <w:t>off was between protecting immediate revenue (high</w:t>
      </w:r>
      <w:r w:rsidRPr="00D80E1A">
        <w:rPr>
          <w:sz w:val="28"/>
          <w:szCs w:val="28"/>
          <w:lang w:val="en-IN"/>
        </w:rPr>
        <w:noBreakHyphen/>
        <w:t>spend customers) and securing future growth. We decided future growth was more valuable to protect first.</w:t>
      </w:r>
    </w:p>
    <w:p w14:paraId="01CF0DA3" w14:textId="77777777" w:rsidR="00D80E1A" w:rsidRPr="00D80E1A" w:rsidRDefault="00D80E1A" w:rsidP="00D80E1A">
      <w:pPr>
        <w:jc w:val="both"/>
        <w:rPr>
          <w:sz w:val="28"/>
          <w:szCs w:val="28"/>
          <w:lang w:val="en-IN"/>
        </w:rPr>
      </w:pPr>
      <w:r w:rsidRPr="00D80E1A">
        <w:rPr>
          <w:b/>
          <w:bCs/>
          <w:sz w:val="28"/>
          <w:szCs w:val="28"/>
          <w:lang w:val="en-IN"/>
        </w:rPr>
        <w:t>3. What happened when we skipped retrieval in Task 6</w:t>
      </w:r>
      <w:r w:rsidRPr="00D80E1A">
        <w:rPr>
          <w:sz w:val="28"/>
          <w:szCs w:val="28"/>
          <w:lang w:val="en-IN"/>
        </w:rPr>
        <w:t xml:space="preserve"> When we skipped the retrieval step, the AI guessed which clause applied and got it wrong. In a casual chatbot, a wrong guess is harmless. But here, it matters because the wrong clause means the wrong retention action — for example, sending a discount when the policy says to route the customer to onboarding. That creates compliance risks and inconsistent customer treatment.</w:t>
      </w:r>
    </w:p>
    <w:p w14:paraId="7F4AC5C2" w14:textId="77777777" w:rsidR="00D80E1A" w:rsidRPr="00D80E1A" w:rsidRDefault="00D80E1A" w:rsidP="00D80E1A">
      <w:pPr>
        <w:jc w:val="both"/>
        <w:rPr>
          <w:sz w:val="28"/>
          <w:szCs w:val="28"/>
          <w:lang w:val="en-IN"/>
        </w:rPr>
      </w:pPr>
      <w:r w:rsidRPr="00D80E1A">
        <w:rPr>
          <w:b/>
          <w:bCs/>
          <w:sz w:val="28"/>
          <w:szCs w:val="28"/>
          <w:lang w:val="en-IN"/>
        </w:rPr>
        <w:t xml:space="preserve">4. Exactly what we passed into the LLM prompt, and where demographics were kept </w:t>
      </w:r>
      <w:proofErr w:type="gramStart"/>
      <w:r w:rsidRPr="00D80E1A">
        <w:rPr>
          <w:b/>
          <w:bCs/>
          <w:sz w:val="28"/>
          <w:szCs w:val="28"/>
          <w:lang w:val="en-IN"/>
        </w:rPr>
        <w:t>out</w:t>
      </w:r>
      <w:proofErr w:type="gramEnd"/>
      <w:r w:rsidRPr="00D80E1A">
        <w:rPr>
          <w:sz w:val="28"/>
          <w:szCs w:val="28"/>
          <w:lang w:val="en-IN"/>
        </w:rPr>
        <w:t xml:space="preserve"> We only passed three things into the AI prompt: the customer’s churn probability, their top three risk</w:t>
      </w:r>
      <w:r w:rsidRPr="00D80E1A">
        <w:rPr>
          <w:sz w:val="28"/>
          <w:szCs w:val="28"/>
          <w:lang w:val="en-IN"/>
        </w:rPr>
        <w:noBreakHyphen/>
        <w:t>driving features (like contract type or monthly charges), and their tenure. We deliberately left out demographic details (gender, senior citizen status, partner/dependents) in the code. This ensured the AI could not mention or imply those factors, keeping us compliant with the non</w:t>
      </w:r>
      <w:r w:rsidRPr="00D80E1A">
        <w:rPr>
          <w:sz w:val="28"/>
          <w:szCs w:val="28"/>
          <w:lang w:val="en-IN"/>
        </w:rPr>
        <w:noBreakHyphen/>
        <w:t>discrimination rule.</w:t>
      </w:r>
    </w:p>
    <w:p w14:paraId="58EDE318" w14:textId="77777777" w:rsidR="00D80E1A" w:rsidRPr="00D80E1A" w:rsidRDefault="00D80E1A" w:rsidP="00D80E1A">
      <w:pPr>
        <w:jc w:val="both"/>
        <w:rPr>
          <w:sz w:val="28"/>
          <w:szCs w:val="28"/>
        </w:rPr>
      </w:pPr>
    </w:p>
    <w:sectPr w:rsidR="00D80E1A" w:rsidRPr="00D80E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94E"/>
    <w:rsid w:val="000E3091"/>
    <w:rsid w:val="0022294E"/>
    <w:rsid w:val="003F063B"/>
    <w:rsid w:val="0046166A"/>
    <w:rsid w:val="00AE0541"/>
    <w:rsid w:val="00C13540"/>
    <w:rsid w:val="00D80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4D8C7"/>
  <w15:chartTrackingRefBased/>
  <w15:docId w15:val="{F52B9F47-F849-4B55-ACF6-9C1702532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94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2294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2294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294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294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2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94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2294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2294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294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294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2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94E"/>
    <w:rPr>
      <w:rFonts w:eastAsiaTheme="majorEastAsia" w:cstheme="majorBidi"/>
      <w:color w:val="272727" w:themeColor="text1" w:themeTint="D8"/>
    </w:rPr>
  </w:style>
  <w:style w:type="paragraph" w:styleId="Title">
    <w:name w:val="Title"/>
    <w:basedOn w:val="Normal"/>
    <w:next w:val="Normal"/>
    <w:link w:val="TitleChar"/>
    <w:uiPriority w:val="10"/>
    <w:qFormat/>
    <w:rsid w:val="00222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9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9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94E"/>
    <w:rPr>
      <w:i/>
      <w:iCs/>
      <w:color w:val="404040" w:themeColor="text1" w:themeTint="BF"/>
    </w:rPr>
  </w:style>
  <w:style w:type="paragraph" w:styleId="ListParagraph">
    <w:name w:val="List Paragraph"/>
    <w:basedOn w:val="Normal"/>
    <w:uiPriority w:val="34"/>
    <w:qFormat/>
    <w:rsid w:val="0022294E"/>
    <w:pPr>
      <w:ind w:left="720"/>
      <w:contextualSpacing/>
    </w:pPr>
  </w:style>
  <w:style w:type="character" w:styleId="IntenseEmphasis">
    <w:name w:val="Intense Emphasis"/>
    <w:basedOn w:val="DefaultParagraphFont"/>
    <w:uiPriority w:val="21"/>
    <w:qFormat/>
    <w:rsid w:val="0022294E"/>
    <w:rPr>
      <w:i/>
      <w:iCs/>
      <w:color w:val="365F91" w:themeColor="accent1" w:themeShade="BF"/>
    </w:rPr>
  </w:style>
  <w:style w:type="paragraph" w:styleId="IntenseQuote">
    <w:name w:val="Intense Quote"/>
    <w:basedOn w:val="Normal"/>
    <w:next w:val="Normal"/>
    <w:link w:val="IntenseQuoteChar"/>
    <w:uiPriority w:val="30"/>
    <w:qFormat/>
    <w:rsid w:val="002229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294E"/>
    <w:rPr>
      <w:i/>
      <w:iCs/>
      <w:color w:val="365F91" w:themeColor="accent1" w:themeShade="BF"/>
    </w:rPr>
  </w:style>
  <w:style w:type="character" w:styleId="IntenseReference">
    <w:name w:val="Intense Reference"/>
    <w:basedOn w:val="DefaultParagraphFont"/>
    <w:uiPriority w:val="32"/>
    <w:qFormat/>
    <w:rsid w:val="0022294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C.John</dc:creator>
  <cp:keywords/>
  <dc:description/>
  <cp:lastModifiedBy>Philip C.John</cp:lastModifiedBy>
  <cp:revision>2</cp:revision>
  <dcterms:created xsi:type="dcterms:W3CDTF">2026-09-06T07:44:00Z</dcterms:created>
  <dcterms:modified xsi:type="dcterms:W3CDTF">2026-09-06T07:44:00Z</dcterms:modified>
</cp:coreProperties>
</file>