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A9833" w14:textId="77777777" w:rsidR="00EA2821" w:rsidRDefault="00B8363B">
      <w:pPr>
        <w:pStyle w:val="Heading1"/>
      </w:pPr>
      <w:r>
        <w:t>Vendor Performance Report</w:t>
      </w:r>
    </w:p>
    <w:p w14:paraId="670DA98D" w14:textId="77777777" w:rsidR="00EA2821" w:rsidRDefault="00B8363B">
      <w:r>
        <w:t>Prepared by: Asha Das</w:t>
      </w:r>
    </w:p>
    <w:p w14:paraId="122E7BF0" w14:textId="77777777" w:rsidR="00EA2821" w:rsidRDefault="00B8363B">
      <w:r>
        <w:t>Reporting Period: 01-11-2025 to 01-12-2025</w:t>
      </w:r>
    </w:p>
    <w:p w14:paraId="1C556761" w14:textId="77777777" w:rsidR="00EA2821" w:rsidRDefault="00B8363B">
      <w:r>
        <w:br/>
      </w:r>
    </w:p>
    <w:p w14:paraId="136BA8C4" w14:textId="77777777" w:rsidR="00EA2821" w:rsidRDefault="00B8363B">
      <w:r>
        <w:rPr>
          <w:noProof/>
        </w:rPr>
        <w:drawing>
          <wp:inline distT="0" distB="0" distL="0" distR="0" wp14:anchorId="0F1668DA" wp14:editId="69C1349B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3)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2758" w14:textId="77777777" w:rsidR="00EA2821" w:rsidRPr="00B8363B" w:rsidRDefault="00B8363B">
      <w:pPr>
        <w:rPr>
          <w:b/>
          <w:bCs/>
        </w:rPr>
      </w:pPr>
      <w:r>
        <w:br/>
      </w:r>
      <w:r w:rsidRPr="00B8363B">
        <w:rPr>
          <w:b/>
          <w:bCs/>
        </w:rPr>
        <w:t>Dashboard Overview</w:t>
      </w:r>
    </w:p>
    <w:p w14:paraId="4C902107" w14:textId="77777777" w:rsidR="00EA2821" w:rsidRDefault="00B8363B">
      <w:r>
        <w:t xml:space="preserve">This dashboard presents vendor performance metrics including total brands, vendors, gross profit, and freight cost. It highlights </w:t>
      </w:r>
      <w:r>
        <w:t>top-performing brands and identifies low-profit vendors.</w:t>
      </w:r>
    </w:p>
    <w:p w14:paraId="504FDD03" w14:textId="77777777" w:rsidR="00EA2821" w:rsidRDefault="00B8363B">
      <w:r>
        <w:br w:type="page"/>
      </w:r>
    </w:p>
    <w:p w14:paraId="22DEA345" w14:textId="77777777" w:rsidR="00EA2821" w:rsidRDefault="00B8363B">
      <w:pPr>
        <w:pStyle w:val="Heading1"/>
      </w:pPr>
      <w:r>
        <w:lastRenderedPageBreak/>
        <w:t>Key Insights &amp; Analysis</w:t>
      </w:r>
    </w:p>
    <w:p w14:paraId="522A461D" w14:textId="77777777" w:rsidR="00EA2821" w:rsidRDefault="00B8363B">
      <w:r>
        <w:t>- Vendor 3089 has the highest low-profit contribution (82.52%), requiring performance review.</w:t>
      </w:r>
    </w:p>
    <w:p w14:paraId="3AD09B48" w14:textId="77777777" w:rsidR="00EA2821" w:rsidRDefault="00B8363B">
      <w:r>
        <w:t>- Brand 1233, 4261, and 3545 contribute over 63% of total gross profit, showing</w:t>
      </w:r>
      <w:r>
        <w:t xml:space="preserve"> high profitability potential.</w:t>
      </w:r>
    </w:p>
    <w:p w14:paraId="6FE1DD57" w14:textId="77777777" w:rsidR="00EA2821" w:rsidRDefault="00B8363B">
      <w:r>
        <w:t>- Freight cost (657M) is significantly higher than gross profit (130M), impacting overall profitability.</w:t>
      </w:r>
    </w:p>
    <w:p w14:paraId="46F537AF" w14:textId="77777777" w:rsidR="00EA2821" w:rsidRDefault="00B8363B">
      <w:r>
        <w:t>- Vendor count of 126 shows wide supplier base, requiring selective optimization.</w:t>
      </w:r>
    </w:p>
    <w:p w14:paraId="48660FC3" w14:textId="77777777" w:rsidR="00EA2821" w:rsidRDefault="00B8363B">
      <w:r>
        <w:br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A2821" w14:paraId="1029F753" w14:textId="77777777" w:rsidTr="00B83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7787DB" w14:textId="77777777" w:rsidR="00EA2821" w:rsidRDefault="00B8363B">
            <w:r>
              <w:t>Focus Area</w:t>
            </w:r>
          </w:p>
        </w:tc>
        <w:tc>
          <w:tcPr>
            <w:tcW w:w="4320" w:type="dxa"/>
          </w:tcPr>
          <w:p w14:paraId="1AA39223" w14:textId="77777777" w:rsidR="00EA2821" w:rsidRDefault="00B836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Recommendation</w:t>
            </w:r>
          </w:p>
        </w:tc>
      </w:tr>
      <w:tr w:rsidR="00EA2821" w14:paraId="46081361" w14:textId="77777777" w:rsidTr="00B83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01DDE1" w14:textId="77777777" w:rsidR="00EA2821" w:rsidRDefault="00B8363B">
            <w:r>
              <w:t>Vendor Pe</w:t>
            </w:r>
            <w:r>
              <w:t>rformance</w:t>
            </w:r>
          </w:p>
        </w:tc>
        <w:tc>
          <w:tcPr>
            <w:tcW w:w="4320" w:type="dxa"/>
          </w:tcPr>
          <w:p w14:paraId="23A9D975" w14:textId="77777777" w:rsidR="00EA2821" w:rsidRDefault="00B836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Renegotiate contracts and evaluate low-performing vendors.</w:t>
            </w:r>
          </w:p>
        </w:tc>
      </w:tr>
      <w:tr w:rsidR="00EA2821" w14:paraId="2E04AEFE" w14:textId="77777777" w:rsidTr="00B8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DC3AB8" w14:textId="77777777" w:rsidR="00EA2821" w:rsidRDefault="00B8363B">
            <w:r>
              <w:t>Logistics</w:t>
            </w:r>
          </w:p>
        </w:tc>
        <w:tc>
          <w:tcPr>
            <w:tcW w:w="4320" w:type="dxa"/>
          </w:tcPr>
          <w:p w14:paraId="21C56D74" w14:textId="77777777" w:rsidR="00EA2821" w:rsidRDefault="00B836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Optimize freight cost by reviewing shipment methods.</w:t>
            </w:r>
          </w:p>
        </w:tc>
      </w:tr>
      <w:tr w:rsidR="00EA2821" w14:paraId="4967A5B3" w14:textId="77777777" w:rsidTr="00B83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BA146D" w14:textId="77777777" w:rsidR="00EA2821" w:rsidRDefault="00B8363B">
            <w:r>
              <w:t>High Performing Brands</w:t>
            </w:r>
          </w:p>
        </w:tc>
        <w:tc>
          <w:tcPr>
            <w:tcW w:w="4320" w:type="dxa"/>
          </w:tcPr>
          <w:p w14:paraId="71AE5E61" w14:textId="77777777" w:rsidR="00EA2821" w:rsidRDefault="00B836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Increase investment in top-performing brands.</w:t>
            </w:r>
          </w:p>
        </w:tc>
      </w:tr>
      <w:tr w:rsidR="00EA2821" w14:paraId="6DECA056" w14:textId="77777777" w:rsidTr="00B83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4CA49D" w14:textId="77777777" w:rsidR="00EA2821" w:rsidRDefault="00B8363B">
            <w:r>
              <w:t>Monitoring</w:t>
            </w:r>
          </w:p>
        </w:tc>
        <w:tc>
          <w:tcPr>
            <w:tcW w:w="4320" w:type="dxa"/>
          </w:tcPr>
          <w:p w14:paraId="1F53D3AF" w14:textId="77777777" w:rsidR="00EA2821" w:rsidRDefault="00B836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Apply vendor scorecard monthly to </w:t>
            </w:r>
            <w:r>
              <w:t>track efficiency.</w:t>
            </w:r>
          </w:p>
        </w:tc>
      </w:tr>
    </w:tbl>
    <w:p w14:paraId="29CFF330" w14:textId="77777777" w:rsidR="00EA2821" w:rsidRPr="00B8363B" w:rsidRDefault="00B8363B">
      <w:pPr>
        <w:rPr>
          <w:b/>
          <w:bCs/>
        </w:rPr>
      </w:pPr>
      <w:r>
        <w:br/>
      </w:r>
      <w:r w:rsidRPr="00B8363B">
        <w:rPr>
          <w:b/>
          <w:bCs/>
        </w:rPr>
        <w:t>Conclusion</w:t>
      </w:r>
    </w:p>
    <w:p w14:paraId="29B13A4D" w14:textId="77777777" w:rsidR="00EA2821" w:rsidRDefault="00B8363B">
      <w:r>
        <w:t>Vendor performance indicates strong brand contribution but highlights major losses due to freight costs. Optimizing vendor contracts and focusing on high-performing brands can increase overall profitability.</w:t>
      </w:r>
    </w:p>
    <w:sectPr w:rsidR="00EA28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363B"/>
    <w:rsid w:val="00CB0664"/>
    <w:rsid w:val="00EA28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5D595"/>
  <w14:defaultImageDpi w14:val="300"/>
  <w15:docId w15:val="{90452876-9F50-4021-A1C6-6EE0C690A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B8363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asha das</cp:lastModifiedBy>
  <cp:revision>2</cp:revision>
  <dcterms:created xsi:type="dcterms:W3CDTF">2013-12-23T23:15:00Z</dcterms:created>
  <dcterms:modified xsi:type="dcterms:W3CDTF">2025-11-21T15:37:00Z</dcterms:modified>
  <cp:category/>
</cp:coreProperties>
</file>