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Neolithic farmers built the foundational core of Galician DNA. But when Roman soldiers arrived, they didn't bring Italian genes—they brought North African and Eastern Mediterranean ancestry.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Around 5000 BC, early farmers originating from Anatolia migrated across the Mediterranean and reached the Iberian Peninsula. These Neolithic farmers did not just bring agriculture and the megalithic culture that built Galicia's scattered dolmens; they transformed the local genetic landscape. Over time, they largely absorbed the indigenous Western Hunter-Gatherers. Today, this "Early European Farmer" ancestry constitutes the largest single component of the modern Galician autosomal genome, just as it does for the rest of Iberia.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However, to understand the genetic picture before the Romans arrived, one must look at the Bronze Age. Around 2000 BC, Steppe pastoralists—associated with the Indo-European expansion—arrived in Iberia. While they mixed with the established Neolithic farmers, they replaced the local male lineages. This introduced the R1b Y-chromosome haplogroup that dominates Galicia today, creating a Celtic, Iron Age population that was roughly a 60/40 split of Neolithic farmer and Steppe DNA.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Rome finally conquered Gallaecia during the Cantabrian Wars (29–19 BC), the demographic impact was different. Unlike the mass population sweeps of the Neolithic and Bronze ages, the Roman conquest was an administrative and military occupation. Because the Roman army relied on auxiliary troops, merchants, and slaves drawn from across the vast empire, the occupation introduced a cosmopolitan influx of new genetic markers. Garrisons and newly founded administrative centers like Lucus Augusti (modern Lugo) became hubs where Eastern Mediterranean and North African populations settled and intermarried with the locals.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These soldiers functioned as genetic couriers, tethering this remote, northwestern corner of the peninsula to the broader Mediterranean world.</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