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Oracle SQL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Lab Assignment #1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Ashank Patil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8658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Due: June 30, 2022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Date Handed In: June 30, 2022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1. What are primary and foreign keys? Explain in detail. What are the implications of using these keys in different tables?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A primary key is used to ensure data in the specific column is unique.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  <w:lang w:val="en-US"/>
        </w:rPr>
        <w:t>foreign key is a column or group of columns in a relational database table that provides a link between data in two tables.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Since a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primary key ensures unique row identification</w:t>
      </w:r>
      <w:r>
        <w:rPr>
          <w:rFonts w:ascii="Times New Roman" w:hAnsi="Times New Roman"/>
          <w:shd w:val="clear" w:color="auto" w:fill="ffffff"/>
          <w:rtl w:val="0"/>
          <w:lang w:val="en-US"/>
        </w:rPr>
        <w:t>, it results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in faster sorting, searching, and querying operations. A foreign key creates a link between two tables.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2. What is data dictionary? What is it used for?</w:t>
      </w:r>
    </w:p>
    <w:p>
      <w:pPr>
        <w:pStyle w:val="Default"/>
        <w:bidi w:val="0"/>
        <w:spacing w:before="0" w:after="30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A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data dictionary is a set of database tables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that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store information about a database</w:t>
      </w:r>
      <w:r>
        <w:rPr>
          <w:rFonts w:ascii="Times New Roman" w:hAnsi="Times New Roman" w:hint="default"/>
          <w:shd w:val="clear" w:color="auto" w:fill="ffffff"/>
          <w:rtl w:val="1"/>
        </w:rPr>
        <w:t>’</w:t>
      </w:r>
      <w:r>
        <w:rPr>
          <w:rFonts w:ascii="Times New Roman" w:hAnsi="Times New Roman"/>
          <w:shd w:val="clear" w:color="auto" w:fill="ffffff"/>
          <w:rtl w:val="0"/>
          <w:lang w:val="en-US"/>
        </w:rPr>
        <w:t>s definition.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It c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ontains information about database objects such as tables, indexes, columns,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data types</w:t>
      </w:r>
      <w:r>
        <w:rPr>
          <w:rFonts w:ascii="Times New Roman" w:hAnsi="Times New Roman"/>
          <w:shd w:val="clear" w:color="auto" w:fill="ffffff"/>
          <w:rtl w:val="0"/>
          <w:lang w:val="en-US"/>
        </w:rPr>
        <w:t>, and views.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It is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 used to execute queries and is automatically updated whenever objects are added, removed, or changed within the database.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3. What is the significance of creating a column in a table? What is the significance of a row in a table?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In a table, the column contains the column name, data type, and any other attributes of the column. The rows contain the data for the columns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4. What is referential integrity and how is it used in relational databases for adding, removing and updating rows?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Referential integrity is a system of checks and balances that you can create in your database to ensure that tables with related data remain synchronized.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It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allows you to modify or prohibit updates, inserts, or deletes based on whether identical field values exist in the same or other tables.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