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272D"/>
          <w:sz w:val="22"/>
          <w:szCs w:val="22"/>
        </w:rPr>
        <w:t xml:space="preserve">OUTDOOR FIX — LEASE TO OWN PLATFORM</w:t>
      </w:r>
    </w:p>
    <w:p>
      <w:pPr>
        <w:spacing w:after="200"/>
      </w:pPr>
      <w:r>
        <w:rPr>
          <w:b/>
          <w:bCs/>
          <w:color w:val="171717"/>
          <w:sz w:val="44"/>
          <w:szCs w:val="44"/>
        </w:rPr>
        <w:t xml:space="preserve">Milestone 2 &amp; 3 Report</w:t>
      </w:r>
    </w:p>
    <w:p>
      <w:pPr>
        <w:spacing w:after="200"/>
      </w:pPr>
      <w:r>
        <w:rPr>
          <w:b/>
          <w:bCs/>
          <w:color w:val="595959"/>
          <w:sz w:val="26"/>
          <w:szCs w:val="26"/>
        </w:rPr>
        <w:t xml:space="preserve">Lease &amp; Ownership Engine + Risk Assessment Engine</w:t>
      </w:r>
    </w:p>
    <w:p>
      <w:pPr>
        <w:spacing w:after="40"/>
      </w:pPr>
      <w:r>
        <w:rPr>
          <w:color w:val="595959"/>
          <w:sz w:val="21"/>
          <w:szCs w:val="21"/>
        </w:rPr>
        <w:t xml:space="preserve">Prepared for: Joel Stebbins</w:t>
      </w:r>
    </w:p>
    <w:p>
      <w:pPr>
        <w:spacing w:after="40"/>
      </w:pPr>
      <w:r>
        <w:rPr>
          <w:color w:val="595959"/>
          <w:sz w:val="21"/>
          <w:szCs w:val="21"/>
        </w:rPr>
        <w:t xml:space="preserve">Prepared by: Hanzalah</w:t>
      </w:r>
    </w:p>
    <w:p>
      <w:pPr>
        <w:spacing w:after="280"/>
      </w:pPr>
      <w:r>
        <w:rPr>
          <w:color w:val="595959"/>
          <w:sz w:val="21"/>
          <w:szCs w:val="21"/>
        </w:rPr>
        <w:t xml:space="preserve">Date: August 31, 2026</w:t>
      </w:r>
    </w:p>
    <w:p>
      <w:pPr>
        <w:spacing w:after="160" w:line="276"/>
      </w:pPr>
      <w:r>
        <w:rPr>
          <w:color w:val="171717"/>
          <w:sz w:val="21"/>
          <w:szCs w:val="21"/>
        </w:rPr>
        <w:t xml:space="preserve">Milestones 2 and 3 turn the lease application from a UI-only form into a fully working, database-backed system. What follows is exactly what changed, a complete walk-through of how the pieces fit together end to end, and an honest picture of what's still ahead.</w:t>
      </w:r>
    </w:p>
    <w:p>
      <w:pPr>
        <w:spacing w:after="160" w:line="276"/>
      </w:pPr>
      <w:r>
        <w:rPr>
          <w:color w:val="171717"/>
          <w:sz w:val="21"/>
          <w:szCs w:val="21"/>
        </w:rPr>
        <w:t xml:space="preserve">Milestone 2 covers the monthly billing cycle and the full-term / early-purchase pricing engine, plus the live balance display in the customer portal. Milestone 3 covers identity, employment, and bank verification, plus automatic underwriting red flags. Both are now real — not sample data.</w:t>
      </w:r>
    </w:p>
    <w:p>
      <w:pPr>
        <w:pStyle w:val="Heading1"/>
        <w:pBdr>
          <w:bottom w:val="single" w:color="C1272D" w:sz="6" w:space="4"/>
        </w:pBdr>
        <w:spacing w:after="160" w:before="360"/>
      </w:pPr>
      <w:r>
        <w:rPr>
          <w:b/>
          <w:bCs/>
          <w:color w:val="171717"/>
          <w:sz w:val="30"/>
          <w:szCs w:val="30"/>
        </w:rPr>
        <w:t xml:space="preserve">1. What Was Done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2560"/>
      </w:tblGrid>
      <w:tr>
        <w:trPr>
          <w:tblHeader/>
        </w:trPr>
        <w:tc>
          <w:tcPr>
            <w:tcW w:type="dxa" w:w="2400"/>
            <w:shd w:fill="C1272D" w:color="auto" w:val="clear"/>
            <w:tcMar>
              <w:top w:type="dxa" w:w="100"/>
              <w:left w:type="dxa" w:w="120"/>
              <w:bottom w:type="dxa" w:w="100"/>
              <w:right w:type="dxa" w:w="120"/>
            </w:tcMar>
          </w:tcPr>
          <w:p>
            <w:r>
              <w:rPr>
                <w:b/>
                <w:bCs/>
                <w:color w:val="FFFFFF"/>
                <w:sz w:val="20"/>
                <w:szCs w:val="20"/>
              </w:rPr>
              <w:t xml:space="preserve">Area</w:t>
            </w:r>
          </w:p>
        </w:tc>
        <w:tc>
          <w:tcPr>
            <w:tcW w:type="dxa" w:w="5100"/>
            <w:shd w:fill="C1272D" w:color="auto" w:val="clear"/>
            <w:tcMar>
              <w:top w:type="dxa" w:w="100"/>
              <w:left w:type="dxa" w:w="120"/>
              <w:bottom w:type="dxa" w:w="100"/>
              <w:right w:type="dxa" w:w="120"/>
            </w:tcMar>
          </w:tcPr>
          <w:p>
            <w:r>
              <w:rPr>
                <w:b/>
                <w:bCs/>
                <w:color w:val="FFFFFF"/>
                <w:sz w:val="20"/>
                <w:szCs w:val="20"/>
              </w:rPr>
              <w:t xml:space="preserve">What was done</w:t>
            </w:r>
          </w:p>
        </w:tc>
        <w:tc>
          <w:tcPr>
            <w:tcW w:type="dxa" w:w="2560"/>
            <w:shd w:fill="C1272D" w:color="auto" w:val="clear"/>
            <w:tcMar>
              <w:top w:type="dxa" w:w="100"/>
              <w:left w:type="dxa" w:w="120"/>
              <w:bottom w:type="dxa" w:w="100"/>
              <w:right w:type="dxa" w:w="120"/>
            </w:tcMar>
          </w:tcPr>
          <w:p>
            <w:r>
              <w:rPr>
                <w:b/>
                <w:bCs/>
                <w:color w:val="FFFFFF"/>
                <w:sz w:val="20"/>
                <w:szCs w:val="20"/>
              </w:rPr>
              <w:t xml:space="preserve">Status</w:t>
            </w:r>
          </w:p>
        </w:tc>
      </w:tr>
      <w:tr>
        <w:tc>
          <w:tcPr>
            <w:tcW w:type="dxa" w:w="2400"/>
            <w:tcMar>
              <w:top w:type="dxa" w:w="100"/>
              <w:left w:type="dxa" w:w="120"/>
              <w:bottom w:type="dxa" w:w="100"/>
              <w:right w:type="dxa" w:w="120"/>
            </w:tcMar>
          </w:tcPr>
          <w:p>
            <w:r>
              <w:rPr>
                <w:b w:val="false"/>
                <w:bCs w:val="false"/>
                <w:color w:val="171717"/>
                <w:sz w:val="20"/>
                <w:szCs w:val="20"/>
              </w:rPr>
              <w:t xml:space="preserve">Application submission (backend)</w:t>
            </w:r>
          </w:p>
        </w:tc>
        <w:tc>
          <w:tcPr>
            <w:tcW w:type="dxa" w:w="5100"/>
            <w:tcMar>
              <w:top w:type="dxa" w:w="100"/>
              <w:left w:type="dxa" w:w="120"/>
              <w:bottom w:type="dxa" w:w="100"/>
              <w:right w:type="dxa" w:w="120"/>
            </w:tcMar>
          </w:tcPr>
          <w:p>
            <w:r>
              <w:rPr>
                <w:b w:val="false"/>
                <w:bCs w:val="false"/>
                <w:color w:val="171717"/>
                <w:sz w:val="20"/>
                <w:szCs w:val="20"/>
              </w:rPr>
              <w:t xml:space="preserve">The admin's New Application wizard now creates a real, database-backed Application, Lease Agreement, and Equipment Unit in one submission — including the uploaded driver's license / government ID. Previously the Submit button was disabled and nothing was saved.</w:t>
            </w:r>
          </w:p>
        </w:tc>
        <w:tc>
          <w:tcPr>
            <w:tcW w:type="dxa" w:w="2560"/>
            <w:tcMar>
              <w:top w:type="dxa" w:w="100"/>
              <w:left w:type="dxa" w:w="120"/>
              <w:bottom w:type="dxa" w:w="100"/>
              <w:right w:type="dxa" w:w="120"/>
            </w:tcMar>
          </w:tcPr>
          <w:p>
            <w:r>
              <w:rPr>
                <w:b w:val="false"/>
                <w:bCs w:val="false"/>
                <w:color w:val="171717"/>
                <w:sz w:val="20"/>
                <w:szCs w:val="20"/>
              </w:rPr>
              <w:t xml:space="preserve">Done</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Full-term &amp; EPO pricing engine</w:t>
            </w:r>
          </w:p>
        </w:tc>
        <w:tc>
          <w:tcPr>
            <w:tcW w:type="dxa" w:w="5100"/>
            <w:shd w:fill="F2F2F2" w:color="auto" w:val="clear"/>
            <w:tcMar>
              <w:top w:type="dxa" w:w="100"/>
              <w:left w:type="dxa" w:w="120"/>
              <w:bottom w:type="dxa" w:w="100"/>
              <w:right w:type="dxa" w:w="120"/>
            </w:tcMar>
          </w:tcPr>
          <w:p>
            <w:r>
              <w:rPr>
                <w:b w:val="false"/>
                <w:bCs w:val="false"/>
                <w:color w:val="171717"/>
                <w:sz w:val="20"/>
                <w:szCs w:val="20"/>
              </w:rPr>
              <w:t xml:space="preserve">The exact pricing formulas from the signed lease agreement (full rental-purchase price, and the 90-day-cutoff Early Purchase Option formula) are now built into the backend, not just the wizard preview. Verified against the client's real contract: Total Rental-Purchase Price computed as $10,909.08 and Early Purchase Option prices matched exactly at every month of the term.</w:t>
            </w:r>
          </w:p>
        </w:tc>
        <w:tc>
          <w:tcPr>
            <w:tcW w:type="dxa" w:w="2560"/>
            <w:shd w:fill="F2F2F2" w:color="auto" w:val="clear"/>
            <w:tcMar>
              <w:top w:type="dxa" w:w="100"/>
              <w:left w:type="dxa" w:w="120"/>
              <w:bottom w:type="dxa" w:w="100"/>
              <w:right w:type="dxa" w:w="120"/>
            </w:tcMar>
          </w:tcPr>
          <w:p>
            <w:r>
              <w:rPr>
                <w:b w:val="false"/>
                <w:bCs w:val="false"/>
                <w:color w:val="171717"/>
                <w:sz w:val="20"/>
                <w:szCs w:val="20"/>
              </w:rPr>
              <w:t xml:space="preserve">Done</w:t>
            </w:r>
          </w:p>
        </w:tc>
      </w:tr>
      <w:tr>
        <w:tc>
          <w:tcPr>
            <w:tcW w:type="dxa" w:w="2400"/>
            <w:tcMar>
              <w:top w:type="dxa" w:w="100"/>
              <w:left w:type="dxa" w:w="120"/>
              <w:bottom w:type="dxa" w:w="100"/>
              <w:right w:type="dxa" w:w="120"/>
            </w:tcMar>
          </w:tcPr>
          <w:p>
            <w:r>
              <w:rPr>
                <w:b w:val="false"/>
                <w:bCs w:val="false"/>
                <w:color w:val="171717"/>
                <w:sz w:val="20"/>
                <w:szCs w:val="20"/>
              </w:rPr>
              <w:t xml:space="preserve">Automatic payment schedule</w:t>
            </w:r>
          </w:p>
        </w:tc>
        <w:tc>
          <w:tcPr>
            <w:tcW w:type="dxa" w:w="5100"/>
            <w:tcMar>
              <w:top w:type="dxa" w:w="100"/>
              <w:left w:type="dxa" w:w="120"/>
              <w:bottom w:type="dxa" w:w="100"/>
              <w:right w:type="dxa" w:w="120"/>
            </w:tcMar>
          </w:tcPr>
          <w:p>
            <w:r>
              <w:rPr>
                <w:b w:val="false"/>
                <w:bCs w:val="false"/>
                <w:color w:val="171717"/>
                <w:sz w:val="20"/>
                <w:szCs w:val="20"/>
              </w:rPr>
              <w:t xml:space="preserve">The moment an application is marked Approved, the system generates the full monthly payment schedule automatically (36 rows for a 36-month lease, correct due dates and amounts) — no manual data entry required.</w:t>
            </w:r>
          </w:p>
        </w:tc>
        <w:tc>
          <w:tcPr>
            <w:tcW w:type="dxa" w:w="2560"/>
            <w:tcMar>
              <w:top w:type="dxa" w:w="100"/>
              <w:left w:type="dxa" w:w="120"/>
              <w:bottom w:type="dxa" w:w="100"/>
              <w:right w:type="dxa" w:w="120"/>
            </w:tcMar>
          </w:tcPr>
          <w:p>
            <w:r>
              <w:rPr>
                <w:b w:val="false"/>
                <w:bCs w:val="false"/>
                <w:color w:val="171717"/>
                <w:sz w:val="20"/>
                <w:szCs w:val="20"/>
              </w:rPr>
              <w:t xml:space="preserve">Done</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Application status pipeline</w:t>
            </w:r>
          </w:p>
        </w:tc>
        <w:tc>
          <w:tcPr>
            <w:tcW w:type="dxa" w:w="5100"/>
            <w:shd w:fill="F2F2F2" w:color="auto" w:val="clear"/>
            <w:tcMar>
              <w:top w:type="dxa" w:w="100"/>
              <w:left w:type="dxa" w:w="120"/>
              <w:bottom w:type="dxa" w:w="100"/>
              <w:right w:type="dxa" w:w="120"/>
            </w:tcMar>
          </w:tcPr>
          <w:p>
            <w:r>
              <w:rPr>
                <w:b w:val="false"/>
                <w:bCs w:val="false"/>
                <w:color w:val="171717"/>
                <w:sz w:val="20"/>
                <w:szCs w:val="20"/>
              </w:rPr>
              <w:t xml:space="preserve">Submitted → Under Review → Approved → Completed → Processed → Funded now persists in the database (previously it lived only in the browser and reset on refresh), and drives a real notification to the customer at every step.</w:t>
            </w:r>
          </w:p>
        </w:tc>
        <w:tc>
          <w:tcPr>
            <w:tcW w:type="dxa" w:w="2560"/>
            <w:shd w:fill="F2F2F2" w:color="auto" w:val="clear"/>
            <w:tcMar>
              <w:top w:type="dxa" w:w="100"/>
              <w:left w:type="dxa" w:w="120"/>
              <w:bottom w:type="dxa" w:w="100"/>
              <w:right w:type="dxa" w:w="120"/>
            </w:tcMar>
          </w:tcPr>
          <w:p>
            <w:r>
              <w:rPr>
                <w:b w:val="false"/>
                <w:bCs w:val="false"/>
                <w:color w:val="171717"/>
                <w:sz w:val="20"/>
                <w:szCs w:val="20"/>
              </w:rPr>
              <w:t xml:space="preserve">Done</w:t>
            </w:r>
          </w:p>
        </w:tc>
      </w:tr>
      <w:tr>
        <w:tc>
          <w:tcPr>
            <w:tcW w:type="dxa" w:w="2400"/>
            <w:tcMar>
              <w:top w:type="dxa" w:w="100"/>
              <w:left w:type="dxa" w:w="120"/>
              <w:bottom w:type="dxa" w:w="100"/>
              <w:right w:type="dxa" w:w="120"/>
            </w:tcMar>
          </w:tcPr>
          <w:p>
            <w:r>
              <w:rPr>
                <w:b w:val="false"/>
                <w:bCs w:val="false"/>
                <w:color w:val="171717"/>
                <w:sz w:val="20"/>
                <w:szCs w:val="20"/>
              </w:rPr>
              <w:t xml:space="preserve">Customer portal — real data</w:t>
            </w:r>
          </w:p>
        </w:tc>
        <w:tc>
          <w:tcPr>
            <w:tcW w:type="dxa" w:w="5100"/>
            <w:tcMar>
              <w:top w:type="dxa" w:w="100"/>
              <w:left w:type="dxa" w:w="120"/>
              <w:bottom w:type="dxa" w:w="100"/>
              <w:right w:type="dxa" w:w="120"/>
            </w:tcMar>
          </w:tcPr>
          <w:p>
            <w:r>
              <w:rPr>
                <w:b w:val="false"/>
                <w:bCs w:val="false"/>
                <w:color w:val="171717"/>
                <w:sz w:val="20"/>
                <w:szCs w:val="20"/>
              </w:rPr>
              <w:t xml:space="preserve">My Lease dashboard, the lease detail page (Path 1 Full-Term Ownership vs. Path 2 Early Purchase Option), the EPO payoff schedule, and the Payments page all now read from the real database instead of sample data.</w:t>
            </w:r>
          </w:p>
        </w:tc>
        <w:tc>
          <w:tcPr>
            <w:tcW w:type="dxa" w:w="2560"/>
            <w:tcMar>
              <w:top w:type="dxa" w:w="100"/>
              <w:left w:type="dxa" w:w="120"/>
              <w:bottom w:type="dxa" w:w="100"/>
              <w:right w:type="dxa" w:w="120"/>
            </w:tcMar>
          </w:tcPr>
          <w:p>
            <w:r>
              <w:rPr>
                <w:b w:val="false"/>
                <w:bCs w:val="false"/>
                <w:color w:val="171717"/>
                <w:sz w:val="20"/>
                <w:szCs w:val="20"/>
              </w:rPr>
              <w:t xml:space="preserve">Done</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Risk scoring engine</w:t>
            </w:r>
          </w:p>
        </w:tc>
        <w:tc>
          <w:tcPr>
            <w:tcW w:type="dxa" w:w="5100"/>
            <w:shd w:fill="F2F2F2" w:color="auto" w:val="clear"/>
            <w:tcMar>
              <w:top w:type="dxa" w:w="100"/>
              <w:left w:type="dxa" w:w="120"/>
              <w:bottom w:type="dxa" w:w="100"/>
              <w:right w:type="dxa" w:w="120"/>
            </w:tcMar>
          </w:tcPr>
          <w:p>
            <w:r>
              <w:rPr>
                <w:b w:val="false"/>
                <w:bCs w:val="false"/>
                <w:color w:val="171717"/>
                <w:sz w:val="20"/>
                <w:szCs w:val="20"/>
              </w:rPr>
              <w:t xml:space="preserve">Identity and employment verification status are computed from the information actually on file; bank verification reflects the real Plaid connection; the background check is automatically flagged when gross monthly income falls under the standard 3× monthly-payment underwriting ratio.</w:t>
            </w:r>
          </w:p>
        </w:tc>
        <w:tc>
          <w:tcPr>
            <w:tcW w:type="dxa" w:w="2560"/>
            <w:shd w:fill="F2F2F2" w:color="auto" w:val="clear"/>
            <w:tcMar>
              <w:top w:type="dxa" w:w="100"/>
              <w:left w:type="dxa" w:w="120"/>
              <w:bottom w:type="dxa" w:w="100"/>
              <w:right w:type="dxa" w:w="120"/>
            </w:tcMar>
          </w:tcPr>
          <w:p>
            <w:r>
              <w:rPr>
                <w:b w:val="false"/>
                <w:bCs w:val="false"/>
                <w:color w:val="171717"/>
                <w:sz w:val="20"/>
                <w:szCs w:val="20"/>
              </w:rPr>
              <w:t xml:space="preserve">Done</w:t>
            </w:r>
          </w:p>
        </w:tc>
      </w:tr>
      <w:tr>
        <w:tc>
          <w:tcPr>
            <w:tcW w:type="dxa" w:w="2400"/>
            <w:tcMar>
              <w:top w:type="dxa" w:w="100"/>
              <w:left w:type="dxa" w:w="120"/>
              <w:bottom w:type="dxa" w:w="100"/>
              <w:right w:type="dxa" w:w="120"/>
            </w:tcMar>
          </w:tcPr>
          <w:p>
            <w:r>
              <w:rPr>
                <w:b w:val="false"/>
                <w:bCs w:val="false"/>
                <w:color w:val="171717"/>
                <w:sz w:val="20"/>
                <w:szCs w:val="20"/>
              </w:rPr>
              <w:t xml:space="preserve">Apartment underwriting rule</w:t>
            </w:r>
          </w:p>
        </w:tc>
        <w:tc>
          <w:tcPr>
            <w:tcW w:type="dxa" w:w="5100"/>
            <w:tcMar>
              <w:top w:type="dxa" w:w="100"/>
              <w:left w:type="dxa" w:w="120"/>
              <w:bottom w:type="dxa" w:w="100"/>
              <w:right w:type="dxa" w:w="120"/>
            </w:tcMar>
          </w:tcPr>
          <w:p>
            <w:r>
              <w:rPr>
                <w:b w:val="false"/>
                <w:bCs w:val="false"/>
                <w:color w:val="171717"/>
                <w:sz w:val="20"/>
                <w:szCs w:val="20"/>
              </w:rPr>
              <w:t xml:space="preserve">Applications for apartment residences are declined automatically at the moment of submission, per underwriting policy — this used to be a hint on the screen with no real effect.</w:t>
            </w:r>
          </w:p>
        </w:tc>
        <w:tc>
          <w:tcPr>
            <w:tcW w:type="dxa" w:w="2560"/>
            <w:tcMar>
              <w:top w:type="dxa" w:w="100"/>
              <w:left w:type="dxa" w:w="120"/>
              <w:bottom w:type="dxa" w:w="100"/>
              <w:right w:type="dxa" w:w="120"/>
            </w:tcMar>
          </w:tcPr>
          <w:p>
            <w:r>
              <w:rPr>
                <w:b w:val="false"/>
                <w:bCs w:val="false"/>
                <w:color w:val="171717"/>
                <w:sz w:val="20"/>
                <w:szCs w:val="20"/>
              </w:rPr>
              <w:t xml:space="preserve">Done</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Secure ID document storage</w:t>
            </w:r>
          </w:p>
        </w:tc>
        <w:tc>
          <w:tcPr>
            <w:tcW w:type="dxa" w:w="5100"/>
            <w:shd w:fill="F2F2F2" w:color="auto" w:val="clear"/>
            <w:tcMar>
              <w:top w:type="dxa" w:w="100"/>
              <w:left w:type="dxa" w:w="120"/>
              <w:bottom w:type="dxa" w:w="100"/>
              <w:right w:type="dxa" w:w="120"/>
            </w:tcMar>
          </w:tcPr>
          <w:p>
            <w:r>
              <w:rPr>
                <w:b w:val="false"/>
                <w:bCs w:val="false"/>
                <w:color w:val="171717"/>
                <w:sz w:val="20"/>
                <w:szCs w:val="20"/>
              </w:rPr>
              <w:t xml:space="preserve">The uploaded driver's license / government ID is saved to private, non-public storage and can only be downloaded by an authenticated admin with application-review access — never exposed via a public link.</w:t>
            </w:r>
          </w:p>
        </w:tc>
        <w:tc>
          <w:tcPr>
            <w:tcW w:type="dxa" w:w="2560"/>
            <w:shd w:fill="F2F2F2" w:color="auto" w:val="clear"/>
            <w:tcMar>
              <w:top w:type="dxa" w:w="100"/>
              <w:left w:type="dxa" w:w="120"/>
              <w:bottom w:type="dxa" w:w="100"/>
              <w:right w:type="dxa" w:w="120"/>
            </w:tcMar>
          </w:tcPr>
          <w:p>
            <w:r>
              <w:rPr>
                <w:b w:val="false"/>
                <w:bCs w:val="false"/>
                <w:color w:val="171717"/>
                <w:sz w:val="20"/>
                <w:szCs w:val="20"/>
              </w:rPr>
              <w:t xml:space="preserve">Done</w:t>
            </w:r>
          </w:p>
        </w:tc>
      </w:tr>
      <w:tr>
        <w:tc>
          <w:tcPr>
            <w:tcW w:type="dxa" w:w="2400"/>
            <w:tcMar>
              <w:top w:type="dxa" w:w="100"/>
              <w:left w:type="dxa" w:w="120"/>
              <w:bottom w:type="dxa" w:w="100"/>
              <w:right w:type="dxa" w:w="120"/>
            </w:tcMar>
          </w:tcPr>
          <w:p>
            <w:r>
              <w:rPr>
                <w:b w:val="false"/>
                <w:bCs w:val="false"/>
                <w:color w:val="171717"/>
                <w:sz w:val="20"/>
                <w:szCs w:val="20"/>
              </w:rPr>
              <w:t xml:space="preserve">Admin manual overrides</w:t>
            </w:r>
          </w:p>
        </w:tc>
        <w:tc>
          <w:tcPr>
            <w:tcW w:type="dxa" w:w="5100"/>
            <w:tcMar>
              <w:top w:type="dxa" w:w="100"/>
              <w:left w:type="dxa" w:w="120"/>
              <w:bottom w:type="dxa" w:w="100"/>
              <w:right w:type="dxa" w:w="120"/>
            </w:tcMar>
          </w:tcPr>
          <w:p>
            <w:r>
              <w:rPr>
                <w:b w:val="false"/>
                <w:bCs w:val="false"/>
                <w:color w:val="171717"/>
                <w:sz w:val="20"/>
                <w:szCs w:val="20"/>
              </w:rPr>
              <w:t xml:space="preserve">From the application detail page, admins can directly edit lease terms, equipment details, the customer's address/residence info, and every risk-profile field.</w:t>
            </w:r>
          </w:p>
        </w:tc>
        <w:tc>
          <w:tcPr>
            <w:tcW w:type="dxa" w:w="2560"/>
            <w:tcMar>
              <w:top w:type="dxa" w:w="100"/>
              <w:left w:type="dxa" w:w="120"/>
              <w:bottom w:type="dxa" w:w="100"/>
              <w:right w:type="dxa" w:w="120"/>
            </w:tcMar>
          </w:tcPr>
          <w:p>
            <w:r>
              <w:rPr>
                <w:b w:val="false"/>
                <w:bCs w:val="false"/>
                <w:color w:val="171717"/>
                <w:sz w:val="20"/>
                <w:szCs w:val="20"/>
              </w:rPr>
              <w:t xml:space="preserve">Done</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Payment tracking (admin)</w:t>
            </w:r>
          </w:p>
        </w:tc>
        <w:tc>
          <w:tcPr>
            <w:tcW w:type="dxa" w:w="5100"/>
            <w:shd w:fill="F2F2F2" w:color="auto" w:val="clear"/>
            <w:tcMar>
              <w:top w:type="dxa" w:w="100"/>
              <w:left w:type="dxa" w:w="120"/>
              <w:bottom w:type="dxa" w:w="100"/>
              <w:right w:type="dxa" w:w="120"/>
            </w:tcMar>
          </w:tcPr>
          <w:p>
            <w:r>
              <w:rPr>
                <w:b w:val="false"/>
                <w:bCs w:val="false"/>
                <w:color w:val="171717"/>
                <w:sz w:val="20"/>
                <w:szCs w:val="20"/>
              </w:rPr>
              <w:t xml:space="preserve">Admins can mark individual scheduled payments as paid, failed, or refunded (cash, ACH, card, other); doing so automatically updates the lease's "payments made" count and recalculates the customer's live Early Purchase Option price everywhere it's shown.</w:t>
            </w:r>
          </w:p>
        </w:tc>
        <w:tc>
          <w:tcPr>
            <w:tcW w:type="dxa" w:w="2560"/>
            <w:shd w:fill="F2F2F2" w:color="auto" w:val="clear"/>
            <w:tcMar>
              <w:top w:type="dxa" w:w="100"/>
              <w:left w:type="dxa" w:w="120"/>
              <w:bottom w:type="dxa" w:w="100"/>
              <w:right w:type="dxa" w:w="120"/>
            </w:tcMar>
          </w:tcPr>
          <w:p>
            <w:r>
              <w:rPr>
                <w:b w:val="false"/>
                <w:bCs w:val="false"/>
                <w:color w:val="171717"/>
                <w:sz w:val="20"/>
                <w:szCs w:val="20"/>
              </w:rPr>
              <w:t xml:space="preserve">Done</w:t>
            </w:r>
          </w:p>
        </w:tc>
      </w:tr>
    </w:tbl>
    <w:p>
      <w:pPr>
        <w:pStyle w:val="Heading1"/>
        <w:pBdr>
          <w:bottom w:val="single" w:color="C1272D" w:sz="6" w:space="4"/>
        </w:pBdr>
        <w:spacing w:after="160" w:before="360"/>
      </w:pPr>
      <w:r>
        <w:rPr>
          <w:b/>
          <w:bCs/>
          <w:color w:val="171717"/>
          <w:sz w:val="30"/>
          <w:szCs w:val="30"/>
        </w:rPr>
        <w:t xml:space="preserve">2. Test Access</w:t>
      </w:r>
    </w:p>
    <w:p>
      <w:pPr>
        <w:spacing w:after="160" w:line="276"/>
      </w:pPr>
      <w:r>
        <w:rPr>
          <w:color w:val="171717"/>
          <w:sz w:val="21"/>
          <w:szCs w:val="21"/>
        </w:rPr>
        <w:t xml:space="preserve">Every account below already exists in the seeded database — log in and try the full flow yourself.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900"/>
      </w:tblGrid>
      <w:tr>
        <w:trPr>
          <w:tblHeader/>
        </w:trPr>
        <w:tc>
          <w:tcPr>
            <w:tcW w:type="dxa" w:w="2400"/>
            <w:shd w:fill="171717" w:color="auto" w:val="clear"/>
            <w:tcMar>
              <w:top w:type="dxa" w:w="100"/>
              <w:left w:type="dxa" w:w="120"/>
              <w:bottom w:type="dxa" w:w="100"/>
              <w:right w:type="dxa" w:w="120"/>
            </w:tcMar>
          </w:tcPr>
          <w:p>
            <w:r>
              <w:rPr>
                <w:b/>
                <w:bCs/>
                <w:color w:val="FFFFFF"/>
                <w:sz w:val="20"/>
                <w:szCs w:val="20"/>
              </w:rPr>
              <w:t xml:space="preserve">Role</w:t>
            </w:r>
          </w:p>
        </w:tc>
        <w:tc>
          <w:tcPr>
            <w:tcW w:type="dxa" w:w="4200"/>
            <w:shd w:fill="171717" w:color="auto" w:val="clear"/>
            <w:tcMar>
              <w:top w:type="dxa" w:w="100"/>
              <w:left w:type="dxa" w:w="120"/>
              <w:bottom w:type="dxa" w:w="100"/>
              <w:right w:type="dxa" w:w="120"/>
            </w:tcMar>
          </w:tcPr>
          <w:p>
            <w:r>
              <w:rPr>
                <w:b/>
                <w:bCs/>
                <w:color w:val="FFFFFF"/>
                <w:sz w:val="20"/>
                <w:szCs w:val="20"/>
              </w:rPr>
              <w:t xml:space="preserve">Email</w:t>
            </w:r>
          </w:p>
        </w:tc>
        <w:tc>
          <w:tcPr>
            <w:tcW w:type="dxa" w:w="1900"/>
            <w:shd w:fill="171717" w:color="auto" w:val="clear"/>
            <w:tcMar>
              <w:top w:type="dxa" w:w="100"/>
              <w:left w:type="dxa" w:w="120"/>
              <w:bottom w:type="dxa" w:w="100"/>
              <w:right w:type="dxa" w:w="120"/>
            </w:tcMar>
          </w:tcPr>
          <w:p>
            <w:r>
              <w:rPr>
                <w:b/>
                <w:bCs/>
                <w:color w:val="FFFFFF"/>
                <w:sz w:val="20"/>
                <w:szCs w:val="20"/>
              </w:rPr>
              <w:t xml:space="preserve">Password</w:t>
            </w:r>
          </w:p>
        </w:tc>
      </w:tr>
      <w:tr>
        <w:tc>
          <w:tcPr>
            <w:tcW w:type="dxa" w:w="2400"/>
            <w:tcMar>
              <w:top w:type="dxa" w:w="100"/>
              <w:left w:type="dxa" w:w="120"/>
              <w:bottom w:type="dxa" w:w="100"/>
              <w:right w:type="dxa" w:w="120"/>
            </w:tcMar>
          </w:tcPr>
          <w:p>
            <w:r>
              <w:rPr>
                <w:b w:val="false"/>
                <w:bCs w:val="false"/>
                <w:color w:val="171717"/>
                <w:sz w:val="20"/>
                <w:szCs w:val="20"/>
              </w:rPr>
              <w:t xml:space="preserve">Super Admin</w:t>
            </w:r>
          </w:p>
        </w:tc>
        <w:tc>
          <w:tcPr>
            <w:tcW w:type="dxa" w:w="4200"/>
            <w:tcMar>
              <w:top w:type="dxa" w:w="100"/>
              <w:left w:type="dxa" w:w="120"/>
              <w:bottom w:type="dxa" w:w="100"/>
              <w:right w:type="dxa" w:w="120"/>
            </w:tcMar>
          </w:tcPr>
          <w:p>
            <w:r>
              <w:rPr>
                <w:b w:val="false"/>
                <w:bCs w:val="false"/>
                <w:color w:val="171717"/>
                <w:sz w:val="20"/>
                <w:szCs w:val="20"/>
              </w:rPr>
              <w:t xml:space="preserve">superadmin@outdoorfix.test</w:t>
            </w:r>
          </w:p>
        </w:tc>
        <w:tc>
          <w:tcPr>
            <w:tcW w:type="dxa" w:w="1900"/>
            <w:tcMar>
              <w:top w:type="dxa" w:w="100"/>
              <w:left w:type="dxa" w:w="120"/>
              <w:bottom w:type="dxa" w:w="100"/>
              <w:right w:type="dxa" w:w="120"/>
            </w:tcMar>
          </w:tcPr>
          <w:p>
            <w:r>
              <w:rPr>
                <w:b w:val="false"/>
                <w:bCs w:val="false"/>
                <w:color w:val="171717"/>
                <w:sz w:val="20"/>
                <w:szCs w:val="20"/>
              </w:rPr>
              <w:t xml:space="preserve">password</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Admin (full access)</w:t>
            </w:r>
          </w:p>
        </w:tc>
        <w:tc>
          <w:tcPr>
            <w:tcW w:type="dxa" w:w="4200"/>
            <w:shd w:fill="F2F2F2" w:color="auto" w:val="clear"/>
            <w:tcMar>
              <w:top w:type="dxa" w:w="100"/>
              <w:left w:type="dxa" w:w="120"/>
              <w:bottom w:type="dxa" w:w="100"/>
              <w:right w:type="dxa" w:w="120"/>
            </w:tcMar>
          </w:tcPr>
          <w:p>
            <w:r>
              <w:rPr>
                <w:b w:val="false"/>
                <w:bCs w:val="false"/>
                <w:color w:val="171717"/>
                <w:sz w:val="20"/>
                <w:szCs w:val="20"/>
              </w:rPr>
              <w:t xml:space="preserve">admin@outdoorfix.test</w:t>
            </w:r>
          </w:p>
        </w:tc>
        <w:tc>
          <w:tcPr>
            <w:tcW w:type="dxa" w:w="1900"/>
            <w:shd w:fill="F2F2F2" w:color="auto" w:val="clear"/>
            <w:tcMar>
              <w:top w:type="dxa" w:w="100"/>
              <w:left w:type="dxa" w:w="120"/>
              <w:bottom w:type="dxa" w:w="100"/>
              <w:right w:type="dxa" w:w="120"/>
            </w:tcMar>
          </w:tcPr>
          <w:p>
            <w:r>
              <w:rPr>
                <w:b w:val="false"/>
                <w:bCs w:val="false"/>
                <w:color w:val="171717"/>
                <w:sz w:val="20"/>
                <w:szCs w:val="20"/>
              </w:rPr>
              <w:t xml:space="preserve">password</w:t>
            </w:r>
          </w:p>
        </w:tc>
      </w:tr>
      <w:tr>
        <w:tc>
          <w:tcPr>
            <w:tcW w:type="dxa" w:w="2400"/>
            <w:tcMar>
              <w:top w:type="dxa" w:w="100"/>
              <w:left w:type="dxa" w:w="120"/>
              <w:bottom w:type="dxa" w:w="100"/>
              <w:right w:type="dxa" w:w="120"/>
            </w:tcMar>
          </w:tcPr>
          <w:p>
            <w:r>
              <w:rPr>
                <w:b w:val="false"/>
                <w:bCs w:val="false"/>
                <w:color w:val="171717"/>
                <w:sz w:val="20"/>
                <w:szCs w:val="20"/>
              </w:rPr>
              <w:t xml:space="preserve">Admin (restricted)</w:t>
            </w:r>
          </w:p>
        </w:tc>
        <w:tc>
          <w:tcPr>
            <w:tcW w:type="dxa" w:w="4200"/>
            <w:tcMar>
              <w:top w:type="dxa" w:w="100"/>
              <w:left w:type="dxa" w:w="120"/>
              <w:bottom w:type="dxa" w:w="100"/>
              <w:right w:type="dxa" w:w="120"/>
            </w:tcMar>
          </w:tcPr>
          <w:p>
            <w:r>
              <w:rPr>
                <w:b w:val="false"/>
                <w:bCs w:val="false"/>
                <w:color w:val="171717"/>
                <w:sz w:val="20"/>
                <w:szCs w:val="20"/>
              </w:rPr>
              <w:t xml:space="preserve">restricted.admin@outdoorfix.test</w:t>
            </w:r>
          </w:p>
        </w:tc>
        <w:tc>
          <w:tcPr>
            <w:tcW w:type="dxa" w:w="1900"/>
            <w:tcMar>
              <w:top w:type="dxa" w:w="100"/>
              <w:left w:type="dxa" w:w="120"/>
              <w:bottom w:type="dxa" w:w="100"/>
              <w:right w:type="dxa" w:w="120"/>
            </w:tcMar>
          </w:tcPr>
          <w:p>
            <w:r>
              <w:rPr>
                <w:b w:val="false"/>
                <w:bCs w:val="false"/>
                <w:color w:val="171717"/>
                <w:sz w:val="20"/>
                <w:szCs w:val="20"/>
              </w:rPr>
              <w:t xml:space="preserve">password</w:t>
            </w:r>
          </w:p>
        </w:tc>
      </w:tr>
      <w:tr>
        <w:tc>
          <w:tcPr>
            <w:tcW w:type="dxa" w:w="2400"/>
            <w:shd w:fill="F2F2F2" w:color="auto" w:val="clear"/>
            <w:tcMar>
              <w:top w:type="dxa" w:w="100"/>
              <w:left w:type="dxa" w:w="120"/>
              <w:bottom w:type="dxa" w:w="100"/>
              <w:right w:type="dxa" w:w="120"/>
            </w:tcMar>
          </w:tcPr>
          <w:p>
            <w:r>
              <w:rPr>
                <w:b w:val="false"/>
                <w:bCs w:val="false"/>
                <w:color w:val="171717"/>
                <w:sz w:val="20"/>
                <w:szCs w:val="20"/>
              </w:rPr>
              <w:t xml:space="preserve">Customer</w:t>
            </w:r>
          </w:p>
        </w:tc>
        <w:tc>
          <w:tcPr>
            <w:tcW w:type="dxa" w:w="4200"/>
            <w:shd w:fill="F2F2F2" w:color="auto" w:val="clear"/>
            <w:tcMar>
              <w:top w:type="dxa" w:w="100"/>
              <w:left w:type="dxa" w:w="120"/>
              <w:bottom w:type="dxa" w:w="100"/>
              <w:right w:type="dxa" w:w="120"/>
            </w:tcMar>
          </w:tcPr>
          <w:p>
            <w:r>
              <w:rPr>
                <w:b w:val="false"/>
                <w:bCs w:val="false"/>
                <w:color w:val="171717"/>
                <w:sz w:val="20"/>
                <w:szCs w:val="20"/>
              </w:rPr>
              <w:t xml:space="preserve">customer@outdoorfix.test</w:t>
            </w:r>
          </w:p>
        </w:tc>
        <w:tc>
          <w:tcPr>
            <w:tcW w:type="dxa" w:w="1900"/>
            <w:shd w:fill="F2F2F2" w:color="auto" w:val="clear"/>
            <w:tcMar>
              <w:top w:type="dxa" w:w="100"/>
              <w:left w:type="dxa" w:w="120"/>
              <w:bottom w:type="dxa" w:w="100"/>
              <w:right w:type="dxa" w:w="120"/>
            </w:tcMar>
          </w:tcPr>
          <w:p>
            <w:r>
              <w:rPr>
                <w:b w:val="false"/>
                <w:bCs w:val="false"/>
                <w:color w:val="171717"/>
                <w:sz w:val="20"/>
                <w:szCs w:val="20"/>
              </w:rPr>
              <w:t xml:space="preserve">password</w:t>
            </w:r>
          </w:p>
        </w:tc>
      </w:tr>
    </w:tbl>
    <w:p>
      <w:pPr>
        <w:pStyle w:val="Heading1"/>
        <w:pBdr>
          <w:bottom w:val="single" w:color="C1272D" w:sz="6" w:space="4"/>
        </w:pBdr>
        <w:spacing w:after="160" w:before="360"/>
      </w:pPr>
      <w:r>
        <w:rPr>
          <w:b/>
          <w:bCs/>
          <w:color w:val="171717"/>
          <w:sz w:val="30"/>
          <w:szCs w:val="30"/>
        </w:rPr>
        <w:t xml:space="preserve">3. How the Flow Works, End to End</w:t>
      </w:r>
    </w:p>
    <w:p>
      <w:pPr>
        <w:spacing w:after="160" w:line="276"/>
      </w:pPr>
      <w:r>
        <w:rPr>
          <w:color w:val="171717"/>
          <w:sz w:val="21"/>
          <w:szCs w:val="21"/>
        </w:rPr>
        <w:t xml:space="preserve">This is the exact sequence of what happens in the system now, from an admin starting a new application through to the customer seeing their live lease.</w:t>
      </w:r>
    </w:p>
    <w:p>
      <w:pPr>
        <w:pStyle w:val="Heading2"/>
        <w:spacing w:after="120" w:before="260"/>
      </w:pPr>
      <w:r>
        <w:rPr>
          <w:b/>
          <w:bCs/>
          <w:color w:val="C1272D"/>
          <w:sz w:val="24"/>
          <w:szCs w:val="24"/>
        </w:rPr>
        <w:t xml:space="preserve">3.1 Submitting an application</w:t>
      </w:r>
    </w:p>
    <w:p>
      <w:pPr>
        <w:pStyle w:val="ListParagraph"/>
        <w:numPr>
          <w:ilvl w:val="0"/>
          <w:numId w:val="2"/>
        </w:numPr>
        <w:spacing w:after="120" w:line="270"/>
      </w:pPr>
      <w:r>
        <w:rPr>
          <w:color w:val="171717"/>
          <w:sz w:val="21"/>
          <w:szCs w:val="21"/>
        </w:rPr>
        <w:t xml:space="preserve">An admin with Application Review access opens New Lease Application and works through the 4-step wizard: Equipment, Lease Details, Customer Info, and Risk &amp; Verification — selecting an existing registered customer and uploading their driver's license or government ID.</w:t>
      </w:r>
    </w:p>
    <w:p>
      <w:pPr>
        <w:pStyle w:val="ListParagraph"/>
        <w:numPr>
          <w:ilvl w:val="0"/>
          <w:numId w:val="2"/>
        </w:numPr>
        <w:spacing w:after="120" w:line="270"/>
      </w:pPr>
      <w:r>
        <w:rPr>
          <w:color w:val="171717"/>
          <w:sz w:val="21"/>
          <w:szCs w:val="21"/>
        </w:rPr>
        <w:t xml:space="preserve">On Submit, the system creates three records at once: the Equipment Unit (make, model, serial number), the Application (starts at “Submitted”), and the Lease Agreement (cash price, term, monthly rental, tax rate, security deposit, AutoPay, LDW, promo code).</w:t>
      </w:r>
    </w:p>
    <w:p>
      <w:pPr>
        <w:pStyle w:val="ListParagraph"/>
        <w:numPr>
          <w:ilvl w:val="0"/>
          <w:numId w:val="2"/>
        </w:numPr>
        <w:spacing w:after="120" w:line="270"/>
      </w:pPr>
      <w:r>
        <w:rPr>
          <w:color w:val="171717"/>
          <w:sz w:val="21"/>
          <w:szCs w:val="21"/>
        </w:rPr>
        <w:t xml:space="preserve">The customer's profile is updated with their mailing address, date of birth, driver's license number, residence type, years at residence, employment status, and gross monthly income. The uploaded ID document is saved to secure, private storage.</w:t>
      </w:r>
    </w:p>
    <w:p>
      <w:pPr>
        <w:pStyle w:val="ListParagraph"/>
        <w:numPr>
          <w:ilvl w:val="0"/>
          <w:numId w:val="2"/>
        </w:numPr>
        <w:spacing w:after="120" w:line="270"/>
      </w:pPr>
      <w:r>
        <w:rPr>
          <w:color w:val="171717"/>
          <w:sz w:val="21"/>
          <w:szCs w:val="21"/>
        </w:rPr>
        <w:t xml:space="preserve">Immediately, the underwriting check runs: if the residence type is an apartment, the application is auto-declined right there with a policy note — no manual review needed.</w:t>
      </w:r>
    </w:p>
    <w:p>
      <w:pPr>
        <w:pStyle w:val="ListParagraph"/>
        <w:numPr>
          <w:ilvl w:val="0"/>
          <w:numId w:val="2"/>
        </w:numPr>
        <w:spacing w:after="120" w:line="270"/>
      </w:pPr>
      <w:r>
        <w:rPr>
          <w:color w:val="171717"/>
          <w:sz w:val="21"/>
          <w:szCs w:val="21"/>
        </w:rPr>
        <w:t xml:space="preserve">The risk-scoring engine runs and creates the customer's Risk Profile: identity and employment verification are marked verified once the required information is on file, bank verification reflects whether the customer has connected their bank via Plaid, and the background check is automatically flagged if their income doesn't meet the standard 3× monthly-payment ratio.</w:t>
      </w:r>
    </w:p>
    <w:p>
      <w:pPr>
        <w:pStyle w:val="ListParagraph"/>
        <w:numPr>
          <w:ilvl w:val="0"/>
          <w:numId w:val="2"/>
        </w:numPr>
        <w:spacing w:after="120" w:line="270"/>
      </w:pPr>
      <w:r>
        <w:rPr>
          <w:color w:val="171717"/>
          <w:sz w:val="21"/>
          <w:szCs w:val="21"/>
        </w:rPr>
        <w:t xml:space="preserve">Every admin with Application Review access (or full access) gets a real notification the moment the application comes in.</w:t>
      </w:r>
    </w:p>
    <w:p>
      <w:pPr>
        <w:pStyle w:val="Heading2"/>
        <w:spacing w:after="120" w:before="260"/>
      </w:pPr>
      <w:r>
        <w:rPr>
          <w:b/>
          <w:bCs/>
          <w:color w:val="C1272D"/>
          <w:sz w:val="24"/>
          <w:szCs w:val="24"/>
        </w:rPr>
        <w:t xml:space="preserve">3.2 Reviewing and advancing the application</w:t>
      </w:r>
    </w:p>
    <w:p>
      <w:pPr>
        <w:pStyle w:val="ListParagraph"/>
        <w:numPr>
          <w:ilvl w:val="0"/>
          <w:numId w:val="2"/>
        </w:numPr>
        <w:spacing w:after="120" w:line="270"/>
      </w:pPr>
      <w:r>
        <w:rPr>
          <w:color w:val="171717"/>
          <w:sz w:val="21"/>
          <w:szCs w:val="21"/>
        </w:rPr>
        <w:t xml:space="preserve">The admin opens the application's detail page and sees everything that was just captured: customer info, lease terms, the equipment unit, and the full risk profile — all real, all editable.</w:t>
      </w:r>
    </w:p>
    <w:p>
      <w:pPr>
        <w:pStyle w:val="ListParagraph"/>
        <w:numPr>
          <w:ilvl w:val="0"/>
          <w:numId w:val="2"/>
        </w:numPr>
        <w:spacing w:after="120" w:line="270"/>
      </w:pPr>
      <w:r>
        <w:rPr>
          <w:color w:val="171717"/>
          <w:sz w:val="21"/>
          <w:szCs w:val="21"/>
        </w:rPr>
        <w:t xml:space="preserve">Using the Take Action buttons, the admin moves the application forward: Submitted → Under Review → Approved → Completed → Processed → Funded (or declines it at any point, with a reason recorded).</w:t>
      </w:r>
    </w:p>
    <w:p>
      <w:pPr>
        <w:pStyle w:val="ListParagraph"/>
        <w:numPr>
          <w:ilvl w:val="0"/>
          <w:numId w:val="2"/>
        </w:numPr>
        <w:spacing w:after="120" w:line="270"/>
      </w:pPr>
      <w:r>
        <w:rPr>
          <w:color w:val="171717"/>
          <w:sz w:val="21"/>
          <w:szCs w:val="21"/>
        </w:rPr>
        <w:t xml:space="preserve">The moment the application reaches Approved, the system locks in the agreed terms and automatically generates the entire monthly payment schedule — one row per month, correct due dates and amounts, with no manual entry.</w:t>
      </w:r>
    </w:p>
    <w:p>
      <w:pPr>
        <w:pStyle w:val="ListParagraph"/>
        <w:numPr>
          <w:ilvl w:val="0"/>
          <w:numId w:val="2"/>
        </w:numPr>
        <w:spacing w:after="120" w:line="270"/>
      </w:pPr>
      <w:r>
        <w:rPr>
          <w:color w:val="171717"/>
          <w:sz w:val="21"/>
          <w:szCs w:val="21"/>
        </w:rPr>
        <w:t xml:space="preserve">At every status change, the customer gets a real notification (“Your application is now under review,” “was approved,” “is funded — your lease is active,” etc.).</w:t>
      </w:r>
    </w:p>
    <w:p>
      <w:pPr>
        <w:pStyle w:val="Heading2"/>
        <w:spacing w:after="120" w:before="260"/>
      </w:pPr>
      <w:r>
        <w:rPr>
          <w:b/>
          <w:bCs/>
          <w:color w:val="C1272D"/>
          <w:sz w:val="24"/>
          <w:szCs w:val="24"/>
        </w:rPr>
        <w:t xml:space="preserve">3.3 The customer's live lease</w:t>
      </w:r>
    </w:p>
    <w:p>
      <w:pPr>
        <w:pStyle w:val="ListParagraph"/>
        <w:numPr>
          <w:ilvl w:val="0"/>
          <w:numId w:val="2"/>
        </w:numPr>
        <w:spacing w:after="120" w:line="270"/>
      </w:pPr>
      <w:r>
        <w:rPr>
          <w:color w:val="171717"/>
          <w:sz w:val="21"/>
          <w:szCs w:val="21"/>
        </w:rPr>
        <w:t xml:space="preserve">Once Funded, the lease appears immediately on the customer's My Lease dashboard — no delay, no separate step.</w:t>
      </w:r>
    </w:p>
    <w:p>
      <w:pPr>
        <w:pStyle w:val="ListParagraph"/>
        <w:numPr>
          <w:ilvl w:val="0"/>
          <w:numId w:val="2"/>
        </w:numPr>
        <w:spacing w:after="120" w:line="270"/>
      </w:pPr>
      <w:r>
        <w:rPr>
          <w:color w:val="171717"/>
          <w:sz w:val="21"/>
          <w:szCs w:val="21"/>
        </w:rPr>
        <w:t xml:space="preserve">The lease detail page shows both ownership paths side by side: Path 1 (Full-Term Ownership) with a live progress bar toward the total rental-purchase price, and Path 2 (Early Purchase Option) with today's exact buyout price.</w:t>
      </w:r>
    </w:p>
    <w:p>
      <w:pPr>
        <w:pStyle w:val="ListParagraph"/>
        <w:numPr>
          <w:ilvl w:val="0"/>
          <w:numId w:val="2"/>
        </w:numPr>
        <w:spacing w:after="120" w:line="270"/>
      </w:pPr>
      <w:r>
        <w:rPr>
          <w:color w:val="171717"/>
          <w:sz w:val="21"/>
          <w:szCs w:val="21"/>
        </w:rPr>
        <w:t xml:space="preserve">The full EPO Payoff Schedule page shows the buyout price at every future month — computed by the same formula, live, not a static table.</w:t>
      </w:r>
    </w:p>
    <w:p>
      <w:pPr>
        <w:pStyle w:val="ListParagraph"/>
        <w:numPr>
          <w:ilvl w:val="0"/>
          <w:numId w:val="2"/>
        </w:numPr>
        <w:spacing w:after="120" w:line="270"/>
      </w:pPr>
      <w:r>
        <w:rPr>
          <w:color w:val="171717"/>
          <w:sz w:val="21"/>
          <w:szCs w:val="21"/>
        </w:rPr>
        <w:t xml:space="preserve">The Payments page shows the complete real payment history and every upcoming due date pulled straight from the schedule generated in step 3.2.</w:t>
      </w:r>
    </w:p>
    <w:p>
      <w:pPr>
        <w:pStyle w:val="Heading2"/>
        <w:spacing w:after="120" w:before="260"/>
      </w:pPr>
      <w:r>
        <w:rPr>
          <w:b/>
          <w:bCs/>
          <w:color w:val="C1272D"/>
          <w:sz w:val="24"/>
          <w:szCs w:val="24"/>
        </w:rPr>
        <w:t xml:space="preserve">3.4 Marking a payment and watching everything update</w:t>
      </w:r>
    </w:p>
    <w:p>
      <w:pPr>
        <w:pStyle w:val="ListParagraph"/>
        <w:numPr>
          <w:ilvl w:val="0"/>
          <w:numId w:val="2"/>
        </w:numPr>
        <w:spacing w:after="120" w:line="270"/>
      </w:pPr>
      <w:r>
        <w:rPr>
          <w:color w:val="171717"/>
          <w:sz w:val="21"/>
          <w:szCs w:val="21"/>
        </w:rPr>
        <w:t xml:space="preserve">When an admin marks a scheduled payment as paid (from the Payment Tracking area), the system records who recorded it, when, and by what method.</w:t>
      </w:r>
    </w:p>
    <w:p>
      <w:pPr>
        <w:pStyle w:val="ListParagraph"/>
        <w:numPr>
          <w:ilvl w:val="0"/>
          <w:numId w:val="2"/>
        </w:numPr>
        <w:spacing w:after="120" w:line="270"/>
      </w:pPr>
      <w:r>
        <w:rPr>
          <w:color w:val="171717"/>
          <w:sz w:val="21"/>
          <w:szCs w:val="21"/>
        </w:rPr>
        <w:t xml:space="preserve">The lease's “payments made” count updates immediately, and every Early Purchase Option figure shown anywhere in the app — admin detail page, customer dashboard, EPO schedule — recalculates live from that new count.</w:t>
      </w:r>
    </w:p>
    <w:p>
      <w:pPr>
        <w:pStyle w:val="ListParagraph"/>
        <w:numPr>
          <w:ilvl w:val="0"/>
          <w:numId w:val="2"/>
        </w:numPr>
        <w:spacing w:after="120" w:line="270"/>
      </w:pPr>
      <w:r>
        <w:rPr>
          <w:color w:val="171717"/>
          <w:sz w:val="21"/>
          <w:szCs w:val="21"/>
        </w:rPr>
        <w:t xml:space="preserve">If a customer reaches their full term, the system automatically flips their lease to “owned.”</w:t>
      </w:r>
    </w:p>
    <w:p>
      <w:pPr>
        <w:pStyle w:val="Heading1"/>
        <w:pBdr>
          <w:bottom w:val="single" w:color="C1272D" w:sz="6" w:space="4"/>
        </w:pBdr>
        <w:spacing w:after="160" w:before="360"/>
      </w:pPr>
      <w:r>
        <w:rPr>
          <w:b/>
          <w:bCs/>
          <w:color w:val="171717"/>
          <w:sz w:val="30"/>
          <w:szCs w:val="30"/>
        </w:rPr>
        <w:t xml:space="preserve">4. The Pricing Formula (Confirmed Against the Signed Contract)</w:t>
      </w:r>
    </w:p>
    <w:p>
      <w:pPr>
        <w:spacing w:after="160" w:line="276"/>
      </w:pPr>
      <w:r>
        <w:rPr>
          <w:color w:val="171717"/>
          <w:sz w:val="21"/>
          <w:szCs w:val="21"/>
        </w:rPr>
        <w:t xml:space="preserve">This is the same formula confirmed in the earlier Workflow Guide, now verified as actually implemented and running in the database — not just displayed:</w:t>
      </w:r>
    </w:p>
    <w:p>
      <w:pPr>
        <w:pStyle w:val="ListParagraph"/>
        <w:numPr>
          <w:ilvl w:val="0"/>
          <w:numId w:val="3"/>
        </w:numPr>
        <w:spacing w:after="90" w:line="270"/>
      </w:pPr>
      <w:r>
        <w:rPr>
          <w:color w:val="171717"/>
          <w:sz w:val="21"/>
          <w:szCs w:val="21"/>
        </w:rPr>
        <w:t xml:space="preserve">Full-term ownership: Total Rental-Purchase Price = Monthly Rental × Term. Verified against the client's real signed agreement: $303.03 × 36 = $10,909.08, exactly.</w:t>
      </w:r>
    </w:p>
    <w:p>
      <w:pPr>
        <w:pStyle w:val="ListParagraph"/>
        <w:numPr>
          <w:ilvl w:val="0"/>
          <w:numId w:val="3"/>
        </w:numPr>
        <w:spacing w:after="90" w:line="270"/>
      </w:pPr>
      <w:r>
        <w:rPr>
          <w:color w:val="171717"/>
          <w:sz w:val="21"/>
          <w:szCs w:val="21"/>
        </w:rPr>
        <w:t xml:space="preserve">Early Purchase Option, within the first 90 days: Cash Price − Rental payments made to date.</w:t>
      </w:r>
    </w:p>
    <w:p>
      <w:pPr>
        <w:pStyle w:val="ListParagraph"/>
        <w:numPr>
          <w:ilvl w:val="0"/>
          <w:numId w:val="3"/>
        </w:numPr>
        <w:spacing w:after="90" w:line="270"/>
      </w:pPr>
      <w:r>
        <w:rPr>
          <w:color w:val="171717"/>
          <w:sz w:val="21"/>
          <w:szCs w:val="21"/>
        </w:rPr>
        <w:t xml:space="preserve">Early Purchase Option, after 90 days: Cash Price − (50% × Rental payments scheduled to date) + Rental payments still owed + any additional funds.</w:t>
      </w:r>
    </w:p>
    <w:p>
      <w:pPr>
        <w:pStyle w:val="ListParagraph"/>
        <w:numPr>
          <w:ilvl w:val="0"/>
          <w:numId w:val="3"/>
        </w:numPr>
        <w:spacing w:after="90" w:line="270"/>
      </w:pPr>
      <w:r>
        <w:rPr>
          <w:color w:val="171717"/>
          <w:sz w:val="21"/>
          <w:szCs w:val="21"/>
        </w:rPr>
        <w:t xml:space="preserve">Taxes are always added separately at the moment the EPO is exercised, never folded into the number itself.</w:t>
      </w:r>
    </w:p>
    <w:p>
      <w:pPr>
        <w:pStyle w:val="Heading1"/>
        <w:pBdr>
          <w:bottom w:val="single" w:color="C1272D" w:sz="6" w:space="4"/>
        </w:pBdr>
        <w:spacing w:after="160" w:before="360"/>
      </w:pPr>
      <w:r>
        <w:rPr>
          <w:b/>
          <w:bCs/>
          <w:color w:val="171717"/>
          <w:sz w:val="30"/>
          <w:szCs w:val="30"/>
        </w:rPr>
        <w:t xml:space="preserve">5. Updated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560"/>
      </w:tblGrid>
      <w:tr>
        <w:trPr>
          <w:tblHeader/>
        </w:trPr>
        <w:tc>
          <w:tcPr>
            <w:tcW w:type="dxa" w:w="700"/>
            <w:shd w:fill="C1272D" w:color="auto" w:val="clear"/>
            <w:tcMar>
              <w:top w:type="dxa" w:w="100"/>
              <w:left w:type="dxa" w:w="120"/>
              <w:bottom w:type="dxa" w:w="100"/>
              <w:right w:type="dxa" w:w="120"/>
            </w:tcMar>
          </w:tcPr>
          <w:p>
            <w:r>
              <w:rPr>
                <w:b/>
                <w:bCs/>
                <w:color w:val="FFFFFF"/>
                <w:sz w:val="20"/>
                <w:szCs w:val="20"/>
              </w:rPr>
              <w:t xml:space="preserve">#</w:t>
            </w:r>
          </w:p>
        </w:tc>
        <w:tc>
          <w:tcPr>
            <w:tcW w:type="dxa" w:w="3100"/>
            <w:shd w:fill="C1272D" w:color="auto" w:val="clear"/>
            <w:tcMar>
              <w:top w:type="dxa" w:w="100"/>
              <w:left w:type="dxa" w:w="120"/>
              <w:bottom w:type="dxa" w:w="100"/>
              <w:right w:type="dxa" w:w="120"/>
            </w:tcMar>
          </w:tcPr>
          <w:p>
            <w:r>
              <w:rPr>
                <w:b/>
                <w:bCs/>
                <w:color w:val="FFFFFF"/>
                <w:sz w:val="20"/>
                <w:szCs w:val="20"/>
              </w:rPr>
              <w:t xml:space="preserve">Milestone</w:t>
            </w:r>
          </w:p>
        </w:tc>
        <w:tc>
          <w:tcPr>
            <w:tcW w:type="dxa" w:w="5560"/>
            <w:shd w:fill="C1272D" w:color="auto" w:val="clear"/>
            <w:tcMar>
              <w:top w:type="dxa" w:w="100"/>
              <w:left w:type="dxa" w:w="120"/>
              <w:bottom w:type="dxa" w:w="100"/>
              <w:right w:type="dxa" w:w="120"/>
            </w:tcMar>
          </w:tcPr>
          <w:p>
            <w:r>
              <w:rPr>
                <w:b/>
                <w:bCs/>
                <w:color w:val="FFFFFF"/>
                <w:sz w:val="20"/>
                <w:szCs w:val="20"/>
              </w:rPr>
              <w:t xml:space="preserve">Covers</w:t>
            </w:r>
          </w:p>
        </w:tc>
      </w:tr>
      <w:tr>
        <w:tc>
          <w:tcPr>
            <w:tcW w:type="dxa" w:w="700"/>
            <w:shd w:fill="E8F5EA" w:color="auto" w:val="clear"/>
            <w:tcMar>
              <w:top w:type="dxa" w:w="100"/>
              <w:left w:type="dxa" w:w="120"/>
              <w:bottom w:type="dxa" w:w="100"/>
              <w:right w:type="dxa" w:w="120"/>
            </w:tcMar>
          </w:tcPr>
          <w:p>
            <w:r>
              <w:rPr>
                <w:b w:val="false"/>
                <w:bCs w:val="false"/>
                <w:color w:val="171717"/>
                <w:sz w:val="20"/>
                <w:szCs w:val="20"/>
              </w:rPr>
              <w:t xml:space="preserve">1</w:t>
            </w:r>
          </w:p>
        </w:tc>
        <w:tc>
          <w:tcPr>
            <w:tcW w:type="dxa" w:w="3100"/>
            <w:shd w:fill="E8F5EA" w:color="auto" w:val="clear"/>
            <w:tcMar>
              <w:top w:type="dxa" w:w="100"/>
              <w:left w:type="dxa" w:w="120"/>
              <w:bottom w:type="dxa" w:w="100"/>
              <w:right w:type="dxa" w:w="120"/>
            </w:tcMar>
          </w:tcPr>
          <w:p>
            <w:r>
              <w:rPr>
                <w:b w:val="false"/>
                <w:bCs w:val="false"/>
                <w:color w:val="171717"/>
                <w:sz w:val="20"/>
                <w:szCs w:val="20"/>
              </w:rPr>
              <w:t xml:space="preserve">Setup &amp; Architecture</w:t>
            </w:r>
          </w:p>
        </w:tc>
        <w:tc>
          <w:tcPr>
            <w:tcW w:type="dxa" w:w="5560"/>
            <w:shd w:fill="E8F5EA" w:color="auto" w:val="clear"/>
            <w:tcMar>
              <w:top w:type="dxa" w:w="100"/>
              <w:left w:type="dxa" w:w="120"/>
              <w:bottom w:type="dxa" w:w="100"/>
              <w:right w:type="dxa" w:w="120"/>
            </w:tcMar>
          </w:tcPr>
          <w:p>
            <w:r>
              <w:rPr>
                <w:b w:val="false"/>
                <w:bCs w:val="false"/>
                <w:color w:val="171717"/>
                <w:sz w:val="20"/>
                <w:szCs w:val="20"/>
              </w:rPr>
              <w:t xml:space="preserve">Complete — see the Milestone 1 report.</w:t>
            </w:r>
          </w:p>
        </w:tc>
      </w:tr>
      <w:tr>
        <w:tc>
          <w:tcPr>
            <w:tcW w:type="dxa" w:w="700"/>
            <w:shd w:fill="E8F5EA" w:color="auto" w:val="clear"/>
            <w:tcMar>
              <w:top w:type="dxa" w:w="100"/>
              <w:left w:type="dxa" w:w="120"/>
              <w:bottom w:type="dxa" w:w="100"/>
              <w:right w:type="dxa" w:w="120"/>
            </w:tcMar>
          </w:tcPr>
          <w:p>
            <w:r>
              <w:rPr>
                <w:b w:val="false"/>
                <w:bCs w:val="false"/>
                <w:color w:val="171717"/>
                <w:sz w:val="20"/>
                <w:szCs w:val="20"/>
              </w:rPr>
              <w:t xml:space="preserve">2</w:t>
            </w:r>
          </w:p>
        </w:tc>
        <w:tc>
          <w:tcPr>
            <w:tcW w:type="dxa" w:w="3100"/>
            <w:shd w:fill="E8F5EA" w:color="auto" w:val="clear"/>
            <w:tcMar>
              <w:top w:type="dxa" w:w="100"/>
              <w:left w:type="dxa" w:w="120"/>
              <w:bottom w:type="dxa" w:w="100"/>
              <w:right w:type="dxa" w:w="120"/>
            </w:tcMar>
          </w:tcPr>
          <w:p>
            <w:r>
              <w:rPr>
                <w:b w:val="false"/>
                <w:bCs w:val="false"/>
                <w:color w:val="171717"/>
                <w:sz w:val="20"/>
                <w:szCs w:val="20"/>
              </w:rPr>
              <w:t xml:space="preserve">Lease &amp; Ownership Engine</w:t>
            </w:r>
          </w:p>
        </w:tc>
        <w:tc>
          <w:tcPr>
            <w:tcW w:type="dxa" w:w="5560"/>
            <w:shd w:fill="E8F5EA" w:color="auto" w:val="clear"/>
            <w:tcMar>
              <w:top w:type="dxa" w:w="100"/>
              <w:left w:type="dxa" w:w="120"/>
              <w:bottom w:type="dxa" w:w="100"/>
              <w:right w:type="dxa" w:w="120"/>
            </w:tcMar>
          </w:tcPr>
          <w:p>
            <w:r>
              <w:rPr>
                <w:b w:val="false"/>
                <w:bCs w:val="false"/>
                <w:color w:val="171717"/>
                <w:sz w:val="20"/>
                <w:szCs w:val="20"/>
              </w:rPr>
              <w:t xml:space="preserve">Complete — this document. Monthly billing, EPO pricing, live payoff schedule, all backed by real data.</w:t>
            </w:r>
          </w:p>
        </w:tc>
      </w:tr>
      <w:tr>
        <w:tc>
          <w:tcPr>
            <w:tcW w:type="dxa" w:w="700"/>
            <w:shd w:fill="E8F5EA" w:color="auto" w:val="clear"/>
            <w:tcMar>
              <w:top w:type="dxa" w:w="100"/>
              <w:left w:type="dxa" w:w="120"/>
              <w:bottom w:type="dxa" w:w="100"/>
              <w:right w:type="dxa" w:w="120"/>
            </w:tcMar>
          </w:tcPr>
          <w:p>
            <w:r>
              <w:rPr>
                <w:b w:val="false"/>
                <w:bCs w:val="false"/>
                <w:color w:val="171717"/>
                <w:sz w:val="20"/>
                <w:szCs w:val="20"/>
              </w:rPr>
              <w:t xml:space="preserve">3</w:t>
            </w:r>
          </w:p>
        </w:tc>
        <w:tc>
          <w:tcPr>
            <w:tcW w:type="dxa" w:w="3100"/>
            <w:shd w:fill="E8F5EA" w:color="auto" w:val="clear"/>
            <w:tcMar>
              <w:top w:type="dxa" w:w="100"/>
              <w:left w:type="dxa" w:w="120"/>
              <w:bottom w:type="dxa" w:w="100"/>
              <w:right w:type="dxa" w:w="120"/>
            </w:tcMar>
          </w:tcPr>
          <w:p>
            <w:r>
              <w:rPr>
                <w:b w:val="false"/>
                <w:bCs w:val="false"/>
                <w:color w:val="171717"/>
                <w:sz w:val="20"/>
                <w:szCs w:val="20"/>
              </w:rPr>
              <w:t xml:space="preserve">Risk Assessment Engine</w:t>
            </w:r>
          </w:p>
        </w:tc>
        <w:tc>
          <w:tcPr>
            <w:tcW w:type="dxa" w:w="5560"/>
            <w:shd w:fill="E8F5EA" w:color="auto" w:val="clear"/>
            <w:tcMar>
              <w:top w:type="dxa" w:w="100"/>
              <w:left w:type="dxa" w:w="120"/>
              <w:bottom w:type="dxa" w:w="100"/>
              <w:right w:type="dxa" w:w="120"/>
            </w:tcMar>
          </w:tcPr>
          <w:p>
            <w:r>
              <w:rPr>
                <w:b w:val="false"/>
                <w:bCs w:val="false"/>
                <w:color w:val="171717"/>
                <w:sz w:val="20"/>
                <w:szCs w:val="20"/>
              </w:rPr>
              <w:t xml:space="preserve">Complete — this document. Identity, employment, Plaid bank verification, automatic red-flag rules.</w:t>
            </w:r>
          </w:p>
        </w:tc>
      </w:tr>
      <w:tr>
        <w:tc>
          <w:tcPr>
            <w:tcW w:type="dxa" w:w="700"/>
            <w:shd w:fill="F2F2F2" w:color="auto" w:val="clear"/>
            <w:tcMar>
              <w:top w:type="dxa" w:w="100"/>
              <w:left w:type="dxa" w:w="120"/>
              <w:bottom w:type="dxa" w:w="100"/>
              <w:right w:type="dxa" w:w="120"/>
            </w:tcMar>
          </w:tcPr>
          <w:p>
            <w:r>
              <w:rPr>
                <w:b w:val="false"/>
                <w:bCs w:val="false"/>
                <w:color w:val="171717"/>
                <w:sz w:val="20"/>
                <w:szCs w:val="20"/>
              </w:rPr>
              <w:t xml:space="preserve">4</w:t>
            </w:r>
          </w:p>
        </w:tc>
        <w:tc>
          <w:tcPr>
            <w:tcW w:type="dxa" w:w="3100"/>
            <w:shd w:fill="F2F2F2" w:color="auto" w:val="clear"/>
            <w:tcMar>
              <w:top w:type="dxa" w:w="100"/>
              <w:left w:type="dxa" w:w="120"/>
              <w:bottom w:type="dxa" w:w="100"/>
              <w:right w:type="dxa" w:w="120"/>
            </w:tcMar>
          </w:tcPr>
          <w:p>
            <w:r>
              <w:rPr>
                <w:b w:val="false"/>
                <w:bCs w:val="false"/>
                <w:color w:val="171717"/>
                <w:sz w:val="20"/>
                <w:szCs w:val="20"/>
              </w:rPr>
              <w:t xml:space="preserve">Equipment Tracking</w:t>
            </w:r>
          </w:p>
        </w:tc>
        <w:tc>
          <w:tcPr>
            <w:tcW w:type="dxa" w:w="5560"/>
            <w:shd w:fill="F2F2F2" w:color="auto" w:val="clear"/>
            <w:tcMar>
              <w:top w:type="dxa" w:w="100"/>
              <w:left w:type="dxa" w:w="120"/>
              <w:bottom w:type="dxa" w:w="100"/>
              <w:right w:type="dxa" w:w="120"/>
            </w:tcMar>
          </w:tcPr>
          <w:p>
            <w:r>
              <w:rPr>
                <w:b w:val="false"/>
                <w:bCs w:val="false"/>
                <w:color w:val="171717"/>
                <w:sz w:val="20"/>
                <w:szCs w:val="20"/>
              </w:rPr>
              <w:t xml:space="preserve">Not started. Serial-number tracking workflow.</w:t>
            </w:r>
          </w:p>
        </w:tc>
      </w:tr>
      <w:tr>
        <w:tc>
          <w:tcPr>
            <w:tcW w:type="dxa" w:w="700"/>
            <w:tcMar>
              <w:top w:type="dxa" w:w="100"/>
              <w:left w:type="dxa" w:w="120"/>
              <w:bottom w:type="dxa" w:w="100"/>
              <w:right w:type="dxa" w:w="120"/>
            </w:tcMar>
          </w:tcPr>
          <w:p>
            <w:r>
              <w:rPr>
                <w:b w:val="false"/>
                <w:bCs w:val="false"/>
                <w:color w:val="171717"/>
                <w:sz w:val="20"/>
                <w:szCs w:val="20"/>
              </w:rPr>
              <w:t xml:space="preserve">5</w:t>
            </w:r>
          </w:p>
        </w:tc>
        <w:tc>
          <w:tcPr>
            <w:tcW w:type="dxa" w:w="3100"/>
            <w:tcMar>
              <w:top w:type="dxa" w:w="100"/>
              <w:left w:type="dxa" w:w="120"/>
              <w:bottom w:type="dxa" w:w="100"/>
              <w:right w:type="dxa" w:w="120"/>
            </w:tcMar>
          </w:tcPr>
          <w:p>
            <w:r>
              <w:rPr>
                <w:b w:val="false"/>
                <w:bCs w:val="false"/>
                <w:color w:val="171717"/>
                <w:sz w:val="20"/>
                <w:szCs w:val="20"/>
              </w:rPr>
              <w:t xml:space="preserve">Contracts &amp; E-Signature</w:t>
            </w:r>
          </w:p>
        </w:tc>
        <w:tc>
          <w:tcPr>
            <w:tcW w:type="dxa" w:w="5560"/>
            <w:tcMar>
              <w:top w:type="dxa" w:w="100"/>
              <w:left w:type="dxa" w:w="120"/>
              <w:bottom w:type="dxa" w:w="100"/>
              <w:right w:type="dxa" w:w="120"/>
            </w:tcMar>
          </w:tcPr>
          <w:p>
            <w:r>
              <w:rPr>
                <w:b w:val="false"/>
                <w:bCs w:val="false"/>
                <w:color w:val="171717"/>
                <w:sz w:val="20"/>
                <w:szCs w:val="20"/>
              </w:rPr>
              <w:t xml:space="preserve">Not started. In-platform signing with real persistence (the contract document and status pipeline UI already exist from earlier work, but signing isn't wired to the database yet).</w:t>
            </w:r>
          </w:p>
        </w:tc>
      </w:tr>
      <w:tr>
        <w:tc>
          <w:tcPr>
            <w:tcW w:type="dxa" w:w="700"/>
            <w:shd w:fill="F2F2F2" w:color="auto" w:val="clear"/>
            <w:tcMar>
              <w:top w:type="dxa" w:w="100"/>
              <w:left w:type="dxa" w:w="120"/>
              <w:bottom w:type="dxa" w:w="100"/>
              <w:right w:type="dxa" w:w="120"/>
            </w:tcMar>
          </w:tcPr>
          <w:p>
            <w:r>
              <w:rPr>
                <w:b w:val="false"/>
                <w:bCs w:val="false"/>
                <w:color w:val="171717"/>
                <w:sz w:val="20"/>
                <w:szCs w:val="20"/>
              </w:rPr>
              <w:t xml:space="preserve">6</w:t>
            </w:r>
          </w:p>
        </w:tc>
        <w:tc>
          <w:tcPr>
            <w:tcW w:type="dxa" w:w="3100"/>
            <w:shd w:fill="F2F2F2" w:color="auto" w:val="clear"/>
            <w:tcMar>
              <w:top w:type="dxa" w:w="100"/>
              <w:left w:type="dxa" w:w="120"/>
              <w:bottom w:type="dxa" w:w="100"/>
              <w:right w:type="dxa" w:w="120"/>
            </w:tcMar>
          </w:tcPr>
          <w:p>
            <w:r>
              <w:rPr>
                <w:b w:val="false"/>
                <w:bCs w:val="false"/>
                <w:color w:val="171717"/>
                <w:sz w:val="20"/>
                <w:szCs w:val="20"/>
              </w:rPr>
              <w:t xml:space="preserve">Admin Dashboard &amp; Roles</w:t>
            </w:r>
          </w:p>
        </w:tc>
        <w:tc>
          <w:tcPr>
            <w:tcW w:type="dxa" w:w="5560"/>
            <w:shd w:fill="F2F2F2" w:color="auto" w:val="clear"/>
            <w:tcMar>
              <w:top w:type="dxa" w:w="100"/>
              <w:left w:type="dxa" w:w="120"/>
              <w:bottom w:type="dxa" w:w="100"/>
              <w:right w:type="dxa" w:w="120"/>
            </w:tcMar>
          </w:tcPr>
          <w:p>
            <w:r>
              <w:rPr>
                <w:b w:val="false"/>
                <w:bCs w:val="false"/>
                <w:color w:val="171717"/>
                <w:sz w:val="20"/>
                <w:szCs w:val="20"/>
              </w:rPr>
              <w:t xml:space="preserve">Partially built — admin accounts, permissions, and application review/override are real; full reporting views are still ahead.</w:t>
            </w:r>
          </w:p>
        </w:tc>
      </w:tr>
      <w:tr>
        <w:tc>
          <w:tcPr>
            <w:tcW w:type="dxa" w:w="700"/>
            <w:tcMar>
              <w:top w:type="dxa" w:w="100"/>
              <w:left w:type="dxa" w:w="120"/>
              <w:bottom w:type="dxa" w:w="100"/>
              <w:right w:type="dxa" w:w="120"/>
            </w:tcMar>
          </w:tcPr>
          <w:p>
            <w:r>
              <w:rPr>
                <w:b w:val="false"/>
                <w:bCs w:val="false"/>
                <w:color w:val="171717"/>
                <w:sz w:val="20"/>
                <w:szCs w:val="20"/>
              </w:rPr>
              <w:t xml:space="preserve">7</w:t>
            </w:r>
          </w:p>
        </w:tc>
        <w:tc>
          <w:tcPr>
            <w:tcW w:type="dxa" w:w="3100"/>
            <w:tcMar>
              <w:top w:type="dxa" w:w="100"/>
              <w:left w:type="dxa" w:w="120"/>
              <w:bottom w:type="dxa" w:w="100"/>
              <w:right w:type="dxa" w:w="120"/>
            </w:tcMar>
          </w:tcPr>
          <w:p>
            <w:r>
              <w:rPr>
                <w:b w:val="false"/>
                <w:bCs w:val="false"/>
                <w:color w:val="171717"/>
                <w:sz w:val="20"/>
                <w:szCs w:val="20"/>
              </w:rPr>
              <w:t xml:space="preserve">Accounting Integration</w:t>
            </w:r>
          </w:p>
        </w:tc>
        <w:tc>
          <w:tcPr>
            <w:tcW w:type="dxa" w:w="5560"/>
            <w:tcMar>
              <w:top w:type="dxa" w:w="100"/>
              <w:left w:type="dxa" w:w="120"/>
              <w:bottom w:type="dxa" w:w="100"/>
              <w:right w:type="dxa" w:w="120"/>
            </w:tcMar>
          </w:tcPr>
          <w:p>
            <w:r>
              <w:rPr>
                <w:b w:val="false"/>
                <w:bCs w:val="false"/>
                <w:color w:val="171717"/>
                <w:sz w:val="20"/>
                <w:szCs w:val="20"/>
              </w:rPr>
              <w:t xml:space="preserve">Not started. QuickBooks sync.</w:t>
            </w:r>
          </w:p>
        </w:tc>
      </w:tr>
      <w:tr>
        <w:tc>
          <w:tcPr>
            <w:tcW w:type="dxa" w:w="700"/>
            <w:shd w:fill="F2F2F2" w:color="auto" w:val="clear"/>
            <w:tcMar>
              <w:top w:type="dxa" w:w="100"/>
              <w:left w:type="dxa" w:w="120"/>
              <w:bottom w:type="dxa" w:w="100"/>
              <w:right w:type="dxa" w:w="120"/>
            </w:tcMar>
          </w:tcPr>
          <w:p>
            <w:r>
              <w:rPr>
                <w:b w:val="false"/>
                <w:bCs w:val="false"/>
                <w:color w:val="171717"/>
                <w:sz w:val="20"/>
                <w:szCs w:val="20"/>
              </w:rPr>
              <w:t xml:space="preserve">8</w:t>
            </w:r>
          </w:p>
        </w:tc>
        <w:tc>
          <w:tcPr>
            <w:tcW w:type="dxa" w:w="3100"/>
            <w:shd w:fill="F2F2F2" w:color="auto" w:val="clear"/>
            <w:tcMar>
              <w:top w:type="dxa" w:w="100"/>
              <w:left w:type="dxa" w:w="120"/>
              <w:bottom w:type="dxa" w:w="100"/>
              <w:right w:type="dxa" w:w="120"/>
            </w:tcMar>
          </w:tcPr>
          <w:p>
            <w:r>
              <w:rPr>
                <w:b w:val="false"/>
                <w:bCs w:val="false"/>
                <w:color w:val="171717"/>
                <w:sz w:val="20"/>
                <w:szCs w:val="20"/>
              </w:rPr>
              <w:t xml:space="preserve">Testing, QA &amp; Launch</w:t>
            </w:r>
          </w:p>
        </w:tc>
        <w:tc>
          <w:tcPr>
            <w:tcW w:type="dxa" w:w="5560"/>
            <w:shd w:fill="F2F2F2" w:color="auto" w:val="clear"/>
            <w:tcMar>
              <w:top w:type="dxa" w:w="100"/>
              <w:left w:type="dxa" w:w="120"/>
              <w:bottom w:type="dxa" w:w="100"/>
              <w:right w:type="dxa" w:w="120"/>
            </w:tcMar>
          </w:tcPr>
          <w:p>
            <w:r>
              <w:rPr>
                <w:b w:val="false"/>
                <w:bCs w:val="false"/>
                <w:color w:val="171717"/>
                <w:sz w:val="20"/>
                <w:szCs w:val="20"/>
              </w:rPr>
              <w:t xml:space="preserve">Not started. End-to-end pass, handoff.</w:t>
            </w:r>
          </w:p>
        </w:tc>
      </w:tr>
    </w:tbl>
    <w:p>
      <w:pPr>
        <w:pStyle w:val="Heading1"/>
        <w:pBdr>
          <w:bottom w:val="single" w:color="C1272D" w:sz="6" w:space="4"/>
        </w:pBdr>
        <w:spacing w:after="160" w:before="360"/>
      </w:pPr>
      <w:r>
        <w:rPr>
          <w:b/>
          <w:bCs/>
          <w:color w:val="171717"/>
          <w:sz w:val="30"/>
          <w:szCs w:val="30"/>
        </w:rPr>
        <w:t xml:space="preserve">6. What's Still Open</w:t>
      </w:r>
    </w:p>
    <w:p>
      <w:pPr>
        <w:spacing w:after="160" w:line="276"/>
      </w:pPr>
      <w:r>
        <w:rPr>
          <w:color w:val="171717"/>
          <w:sz w:val="21"/>
          <w:szCs w:val="21"/>
        </w:rPr>
        <w:t xml:space="preserve">In the interest of full transparency — here is exactly what Milestones 2 and 3 do NOT yet cover, so nothing is assumed finished that isn't:</w:t>
      </w:r>
    </w:p>
    <w:p>
      <w:pPr>
        <w:pStyle w:val="ListParagraph"/>
        <w:numPr>
          <w:ilvl w:val="0"/>
          <w:numId w:val="3"/>
        </w:numPr>
        <w:spacing w:after="90" w:line="270"/>
      </w:pPr>
      <w:r>
        <w:rPr>
          <w:color w:val="171717"/>
          <w:sz w:val="21"/>
          <w:szCs w:val="21"/>
        </w:rPr>
        <w:t xml:space="preserve">Contract e-signature is not yet persisted to the database. The contract document and the “Send for Signature” / “Signed” UI exist, but a real, saved electronic signature is Milestone 5.</w:t>
      </w:r>
    </w:p>
    <w:p>
      <w:pPr>
        <w:pStyle w:val="ListParagraph"/>
        <w:numPr>
          <w:ilvl w:val="0"/>
          <w:numId w:val="3"/>
        </w:numPr>
        <w:spacing w:after="90" w:line="270"/>
      </w:pPr>
      <w:r>
        <w:rPr>
          <w:color w:val="171717"/>
          <w:sz w:val="21"/>
          <w:szCs w:val="21"/>
        </w:rPr>
        <w:t xml:space="preserve">Live payment collection (Stripe/ACH) is not connected — admins record payments manually for now. Real payment processing is part of Milestone 7 (Accounting Integration).</w:t>
      </w:r>
    </w:p>
    <w:p>
      <w:pPr>
        <w:pStyle w:val="ListParagraph"/>
        <w:numPr>
          <w:ilvl w:val="0"/>
          <w:numId w:val="3"/>
        </w:numPr>
        <w:spacing w:after="90" w:line="270"/>
      </w:pPr>
      <w:r>
        <w:rPr>
          <w:color w:val="171717"/>
          <w:sz w:val="21"/>
          <w:szCs w:val="21"/>
        </w:rPr>
        <w:t xml:space="preserve">Equipment Tracking (Milestone 4) — serial-number-level service history and lifecycle tracking — has not started.</w:t>
      </w:r>
    </w:p>
    <w:p>
      <w:pPr>
        <w:pStyle w:val="ListParagraph"/>
        <w:numPr>
          <w:ilvl w:val="0"/>
          <w:numId w:val="3"/>
        </w:numPr>
        <w:spacing w:after="90" w:line="270"/>
      </w:pPr>
      <w:r>
        <w:rPr>
          <w:color w:val="171717"/>
          <w:sz w:val="21"/>
          <w:szCs w:val="21"/>
        </w:rPr>
        <w:t xml:space="preserve">Dealer Notes and the per-application Checklist on the application detail page are still local to the browser session (not saved to the database) — they reset if the page is refreshed. Everything else on that page is real.</w:t>
      </w:r>
    </w:p>
    <w:p>
      <w:pPr>
        <w:pStyle w:val="ListParagraph"/>
        <w:numPr>
          <w:ilvl w:val="0"/>
          <w:numId w:val="3"/>
        </w:numPr>
        <w:spacing w:after="90" w:line="270"/>
      </w:pPr>
      <w:r>
        <w:rPr>
          <w:color w:val="171717"/>
          <w:sz w:val="21"/>
          <w:szCs w:val="21"/>
        </w:rPr>
        <w:t xml:space="preserve">Identity and employment “verification” currently means the required information is on file, not that a third-party service has attested to it — no identity-verification or employment-verification API is connected yet. Bank verification is the one leg that's genuinely third-party-verified, via the real Plaid connection.</w:t>
      </w:r>
    </w:p>
    <w:p>
      <w:pPr>
        <w:pStyle w:val="Heading1"/>
        <w:pBdr>
          <w:bottom w:val="single" w:color="C1272D" w:sz="6" w:space="4"/>
        </w:pBdr>
        <w:spacing w:after="160" w:before="360"/>
      </w:pPr>
      <w:r>
        <w:rPr>
          <w:b/>
          <w:bCs/>
          <w:color w:val="171717"/>
          <w:sz w:val="30"/>
          <w:szCs w:val="30"/>
        </w:rPr>
        <w:t xml:space="preserve">7. Next Step</w:t>
      </w:r>
    </w:p>
    <w:p>
      <w:pPr>
        <w:spacing w:after="160" w:line="276"/>
      </w:pPr>
      <w:r>
        <w:rPr>
          <w:color w:val="171717"/>
          <w:sz w:val="21"/>
          <w:szCs w:val="21"/>
        </w:rPr>
        <w:t xml:space="preserve">Milestone 4 (Equipment Tracking) or Milestone 5 (Contracts &amp; E-Signature) can start next — whichever the team prioritizes. Both build directly on the Lease Agreement and Application records now in place. Send over any feedback from testing the accounts above and it will be folded into the next round.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2026-08-31T11:16:00.843Z</dcterms:created>
  <dcterms:modified xsi:type="dcterms:W3CDTF">2026-08-31T11:16:00.844Z</dcterms:modified>
</cp:coreProperties>
</file>

<file path=docProps/custom.xml><?xml version="1.0" encoding="utf-8"?>
<Properties xmlns="http://schemas.openxmlformats.org/officeDocument/2006/custom-properties" xmlns:vt="http://schemas.openxmlformats.org/officeDocument/2006/docPropsVTypes"/>
</file>