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1272D"/>
          <w:sz w:val="22"/>
          <w:szCs w:val="22"/>
        </w:rPr>
        <w:t xml:space="preserve">OUTDOOR FIX</w:t>
      </w:r>
    </w:p>
    <w:p>
      <w:pPr>
        <w:spacing w:after="200"/>
      </w:pPr>
      <w:r>
        <w:rPr>
          <w:b/>
          <w:bCs/>
          <w:color w:val="171717"/>
          <w:sz w:val="44"/>
          <w:szCs w:val="44"/>
        </w:rPr>
        <w:t xml:space="preserve">Platform Workflow Guide</w:t>
      </w:r>
    </w:p>
    <w:p>
      <w:pPr>
        <w:spacing w:after="40"/>
      </w:pPr>
      <w:r>
        <w:rPr>
          <w:color w:val="595959"/>
          <w:sz w:val="21"/>
          <w:szCs w:val="21"/>
        </w:rPr>
        <w:t xml:space="preserve">Prepared for: Joel Stebbins</w:t>
      </w:r>
    </w:p>
    <w:p>
      <w:pPr>
        <w:spacing w:after="40"/>
      </w:pPr>
      <w:r>
        <w:rPr>
          <w:color w:val="595959"/>
          <w:sz w:val="21"/>
          <w:szCs w:val="21"/>
        </w:rPr>
        <w:t xml:space="preserve">Date: August 31, 2026</w:t>
      </w:r>
    </w:p>
    <w:p>
      <w:pPr>
        <w:pBdr>
          <w:bottom w:val="single" w:color="C1272D" w:sz="12" w:space="8"/>
        </w:pBdr>
        <w:spacing w:after="280"/>
      </w:pPr>
      <w:r>
        <w:rPr>
          <w:sz w:val="2"/>
          <w:szCs w:val="2"/>
        </w:rPr>
        <w:t xml:space="preserve"/>
      </w:r>
    </w:p>
    <w:p>
      <w:pPr>
        <w:spacing w:after="160" w:line="276"/>
      </w:pPr>
      <w:r>
        <w:rPr>
          <w:color w:val="171717"/>
          <w:sz w:val="21"/>
          <w:szCs w:val="21"/>
        </w:rPr>
        <w:t xml:space="preserve">This document explains, in plain business language, how the three account roles in the Outdoor Fix lease-to-own platform — Super Admin, Admin, and Customer — work together from account setup through to a signed, funded lease. It is meant as an internal reference for you and your team, not a technical manual.</w:t>
      </w:r>
    </w:p>
    <w:p>
      <w:pPr>
        <w:spacing w:after="160" w:line="276"/>
      </w:pPr>
      <w:r>
        <w:rPr>
          <w:color w:val="171717"/>
          <w:sz w:val="21"/>
          <w:szCs w:val="21"/>
        </w:rPr>
        <w:t xml:space="preserve">It also documents the exact Early Purchase Option pricing formula used in the system (taken directly from your signed lease agreement), and gives a clear, honest picture of which parts of the platform are fully real and working today versus which parts are still shown with sample data while the remaining build milestones are completed.</w:t>
      </w:r>
    </w:p>
    <w:p>
      <w:pPr>
        <w:pStyle w:val="Heading1"/>
        <w:pBdr>
          <w:bottom w:val="single" w:color="C1272D" w:sz="6" w:space="4"/>
        </w:pBdr>
        <w:spacing w:after="160" w:before="360"/>
      </w:pPr>
      <w:r>
        <w:rPr>
          <w:b/>
          <w:bCs/>
          <w:color w:val="171717"/>
          <w:sz w:val="30"/>
          <w:szCs w:val="30"/>
        </w:rPr>
        <w:t xml:space="preserve">1. The Three Roles, at a Glance</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560"/>
      </w:tblGrid>
      <w:tr>
        <w:trPr>
          <w:tblHeader/>
        </w:trPr>
        <w:tc>
          <w:tcPr>
            <w:tcW w:type="dxa" w:w="1900"/>
            <w:shd w:fill="C1272D" w:color="auto" w:val="clear"/>
            <w:tcMar>
              <w:top w:type="dxa" w:w="100"/>
              <w:left w:type="dxa" w:w="120"/>
              <w:bottom w:type="dxa" w:w="100"/>
              <w:right w:type="dxa" w:w="120"/>
            </w:tcMar>
          </w:tcPr>
          <w:p>
            <w:r>
              <w:rPr>
                <w:b/>
                <w:bCs/>
                <w:color w:val="FFFFFF"/>
                <w:sz w:val="20"/>
                <w:szCs w:val="20"/>
              </w:rPr>
              <w:t xml:space="preserve">Role</w:t>
            </w:r>
          </w:p>
        </w:tc>
        <w:tc>
          <w:tcPr>
            <w:tcW w:type="dxa" w:w="3600"/>
            <w:shd w:fill="C1272D" w:color="auto" w:val="clear"/>
            <w:tcMar>
              <w:top w:type="dxa" w:w="100"/>
              <w:left w:type="dxa" w:w="120"/>
              <w:bottom w:type="dxa" w:w="100"/>
              <w:right w:type="dxa" w:w="120"/>
            </w:tcMar>
          </w:tcPr>
          <w:p>
            <w:r>
              <w:rPr>
                <w:b/>
                <w:bCs/>
                <w:color w:val="FFFFFF"/>
                <w:sz w:val="20"/>
                <w:szCs w:val="20"/>
              </w:rPr>
              <w:t xml:space="preserve">Who they are</w:t>
            </w:r>
          </w:p>
        </w:tc>
        <w:tc>
          <w:tcPr>
            <w:tcW w:type="dxa" w:w="4560"/>
            <w:shd w:fill="C1272D" w:color="auto" w:val="clear"/>
            <w:tcMar>
              <w:top w:type="dxa" w:w="100"/>
              <w:left w:type="dxa" w:w="120"/>
              <w:bottom w:type="dxa" w:w="100"/>
              <w:right w:type="dxa" w:w="120"/>
            </w:tcMar>
          </w:tcPr>
          <w:p>
            <w:r>
              <w:rPr>
                <w:b/>
                <w:bCs/>
                <w:color w:val="FFFFFF"/>
                <w:sz w:val="20"/>
                <w:szCs w:val="20"/>
              </w:rPr>
              <w:t xml:space="preserve">What they can do</w:t>
            </w:r>
          </w:p>
        </w:tc>
      </w:tr>
      <w:tr>
        <w:tc>
          <w:tcPr>
            <w:tcW w:type="dxa" w:w="1900"/>
            <w:tcMar>
              <w:top w:type="dxa" w:w="100"/>
              <w:left w:type="dxa" w:w="120"/>
              <w:bottom w:type="dxa" w:w="100"/>
              <w:right w:type="dxa" w:w="120"/>
            </w:tcMar>
          </w:tcPr>
          <w:p>
            <w:r>
              <w:rPr>
                <w:b w:val="false"/>
                <w:bCs w:val="false"/>
                <w:color w:val="171717"/>
                <w:sz w:val="20"/>
                <w:szCs w:val="20"/>
              </w:rPr>
              <w:t xml:space="preserve">Super Admin</w:t>
            </w:r>
          </w:p>
        </w:tc>
        <w:tc>
          <w:tcPr>
            <w:tcW w:type="dxa" w:w="3600"/>
            <w:tcMar>
              <w:top w:type="dxa" w:w="100"/>
              <w:left w:type="dxa" w:w="120"/>
              <w:bottom w:type="dxa" w:w="100"/>
              <w:right w:type="dxa" w:w="120"/>
            </w:tcMar>
          </w:tcPr>
          <w:p>
            <w:r>
              <w:rPr>
                <w:b w:val="false"/>
                <w:bCs w:val="false"/>
                <w:color w:val="171717"/>
                <w:sz w:val="20"/>
                <w:szCs w:val="20"/>
              </w:rPr>
              <w:t xml:space="preserve">Joel / the platform owner and any senior staff who need unrestricted control of the whole system.</w:t>
            </w:r>
          </w:p>
        </w:tc>
        <w:tc>
          <w:tcPr>
            <w:tcW w:type="dxa" w:w="4560"/>
            <w:tcMar>
              <w:top w:type="dxa" w:w="100"/>
              <w:left w:type="dxa" w:w="120"/>
              <w:bottom w:type="dxa" w:w="100"/>
              <w:right w:type="dxa" w:w="120"/>
            </w:tcMar>
          </w:tcPr>
          <w:p>
            <w:r>
              <w:rPr>
                <w:b w:val="false"/>
                <w:bCs w:val="false"/>
                <w:color w:val="171717"/>
                <w:sz w:val="20"/>
                <w:szCs w:val="20"/>
              </w:rPr>
              <w:t xml:space="preserve">Everything an Admin can do, plus: create, edit, and delete Admin accounts; assign or remove permission restrictions on each Admin; the only role that can manage "Admin Accounts."</w:t>
            </w:r>
          </w:p>
        </w:tc>
      </w:tr>
      <w:tr>
        <w:tc>
          <w:tcPr>
            <w:tcW w:type="dxa" w:w="1900"/>
            <w:shd w:fill="F2F2F2" w:color="auto" w:val="clear"/>
            <w:tcMar>
              <w:top w:type="dxa" w:w="100"/>
              <w:left w:type="dxa" w:w="120"/>
              <w:bottom w:type="dxa" w:w="100"/>
              <w:right w:type="dxa" w:w="120"/>
            </w:tcMar>
          </w:tcPr>
          <w:p>
            <w:r>
              <w:rPr>
                <w:b w:val="false"/>
                <w:bCs w:val="false"/>
                <w:color w:val="171717"/>
                <w:sz w:val="20"/>
                <w:szCs w:val="20"/>
              </w:rPr>
              <w:t xml:space="preserve">Admin — Full Access</w:t>
            </w:r>
          </w:p>
        </w:tc>
        <w:tc>
          <w:tcPr>
            <w:tcW w:type="dxa" w:w="3600"/>
            <w:shd w:fill="F2F2F2" w:color="auto" w:val="clear"/>
            <w:tcMar>
              <w:top w:type="dxa" w:w="100"/>
              <w:left w:type="dxa" w:w="120"/>
              <w:bottom w:type="dxa" w:w="100"/>
              <w:right w:type="dxa" w:w="120"/>
            </w:tcMar>
          </w:tcPr>
          <w:p>
            <w:r>
              <w:rPr>
                <w:b w:val="false"/>
                <w:bCs w:val="false"/>
                <w:color w:val="171717"/>
                <w:sz w:val="20"/>
                <w:szCs w:val="20"/>
              </w:rPr>
              <w:t xml:space="preserve">An operations or sales staff member set up with no permission restrictions.</w:t>
            </w:r>
          </w:p>
        </w:tc>
        <w:tc>
          <w:tcPr>
            <w:tcW w:type="dxa" w:w="4560"/>
            <w:shd w:fill="F2F2F2" w:color="auto" w:val="clear"/>
            <w:tcMar>
              <w:top w:type="dxa" w:w="100"/>
              <w:left w:type="dxa" w:w="120"/>
              <w:bottom w:type="dxa" w:w="100"/>
              <w:right w:type="dxa" w:w="120"/>
            </w:tcMar>
          </w:tcPr>
          <w:p>
            <w:r>
              <w:rPr>
                <w:b w:val="false"/>
                <w:bCs w:val="false"/>
                <w:color w:val="171717"/>
                <w:sz w:val="20"/>
                <w:szCs w:val="20"/>
              </w:rPr>
              <w:t xml:space="preserve">Review and process lease applications end-to-end, manage the customer list (create, edit, soft-delete), view and print signed contracts, and see every tab on the dashboard.</w:t>
            </w:r>
          </w:p>
        </w:tc>
      </w:tr>
      <w:tr>
        <w:tc>
          <w:tcPr>
            <w:tcW w:type="dxa" w:w="1900"/>
            <w:tcMar>
              <w:top w:type="dxa" w:w="100"/>
              <w:left w:type="dxa" w:w="120"/>
              <w:bottom w:type="dxa" w:w="100"/>
              <w:right w:type="dxa" w:w="120"/>
            </w:tcMar>
          </w:tcPr>
          <w:p>
            <w:r>
              <w:rPr>
                <w:b w:val="false"/>
                <w:bCs w:val="false"/>
                <w:color w:val="171717"/>
                <w:sz w:val="20"/>
                <w:szCs w:val="20"/>
              </w:rPr>
              <w:t xml:space="preserve">Admin — Restricted</w:t>
            </w:r>
          </w:p>
        </w:tc>
        <w:tc>
          <w:tcPr>
            <w:tcW w:type="dxa" w:w="3600"/>
            <w:tcMar>
              <w:top w:type="dxa" w:w="100"/>
              <w:left w:type="dxa" w:w="120"/>
              <w:bottom w:type="dxa" w:w="100"/>
              <w:right w:type="dxa" w:w="120"/>
            </w:tcMar>
          </w:tcPr>
          <w:p>
            <w:r>
              <w:rPr>
                <w:b w:val="false"/>
                <w:bCs w:val="false"/>
                <w:color w:val="171717"/>
                <w:sz w:val="20"/>
                <w:szCs w:val="20"/>
              </w:rPr>
              <w:t xml:space="preserve">A staff member who should only touch part of the workflow (e.g. a risk reviewer, or someone who only tracks equipment).</w:t>
            </w:r>
          </w:p>
        </w:tc>
        <w:tc>
          <w:tcPr>
            <w:tcW w:type="dxa" w:w="4560"/>
            <w:tcMar>
              <w:top w:type="dxa" w:w="100"/>
              <w:left w:type="dxa" w:w="120"/>
              <w:bottom w:type="dxa" w:w="100"/>
              <w:right w:type="dxa" w:w="120"/>
            </w:tcMar>
          </w:tcPr>
          <w:p>
            <w:r>
              <w:rPr>
                <w:b w:val="false"/>
                <w:bCs w:val="false"/>
                <w:color w:val="171717"/>
                <w:sz w:val="20"/>
                <w:szCs w:val="20"/>
              </w:rPr>
              <w:t xml:space="preserve">Only the dashboard tabs, navigation items, and actions matching the specific permissions assigned by a Super Admin. Everything else is hidden.</w:t>
            </w:r>
          </w:p>
        </w:tc>
      </w:tr>
      <w:tr>
        <w:tc>
          <w:tcPr>
            <w:tcW w:type="dxa" w:w="1900"/>
            <w:shd w:fill="F2F2F2" w:color="auto" w:val="clear"/>
            <w:tcMar>
              <w:top w:type="dxa" w:w="100"/>
              <w:left w:type="dxa" w:w="120"/>
              <w:bottom w:type="dxa" w:w="100"/>
              <w:right w:type="dxa" w:w="120"/>
            </w:tcMar>
          </w:tcPr>
          <w:p>
            <w:r>
              <w:rPr>
                <w:b w:val="false"/>
                <w:bCs w:val="false"/>
                <w:color w:val="171717"/>
                <w:sz w:val="20"/>
                <w:szCs w:val="20"/>
              </w:rPr>
              <w:t xml:space="preserve">Customer</w:t>
            </w:r>
          </w:p>
        </w:tc>
        <w:tc>
          <w:tcPr>
            <w:tcW w:type="dxa" w:w="3600"/>
            <w:shd w:fill="F2F2F2" w:color="auto" w:val="clear"/>
            <w:tcMar>
              <w:top w:type="dxa" w:w="100"/>
              <w:left w:type="dxa" w:w="120"/>
              <w:bottom w:type="dxa" w:w="100"/>
              <w:right w:type="dxa" w:w="120"/>
            </w:tcMar>
          </w:tcPr>
          <w:p>
            <w:r>
              <w:rPr>
                <w:b w:val="false"/>
                <w:bCs w:val="false"/>
                <w:color w:val="171717"/>
                <w:sz w:val="20"/>
                <w:szCs w:val="20"/>
              </w:rPr>
              <w:t xml:space="preserve">The person leasing equipment through Outdoor Fix.</w:t>
            </w:r>
          </w:p>
        </w:tc>
        <w:tc>
          <w:tcPr>
            <w:tcW w:type="dxa" w:w="4560"/>
            <w:shd w:fill="F2F2F2" w:color="auto" w:val="clear"/>
            <w:tcMar>
              <w:top w:type="dxa" w:w="100"/>
              <w:left w:type="dxa" w:w="120"/>
              <w:bottom w:type="dxa" w:w="100"/>
              <w:right w:type="dxa" w:w="120"/>
            </w:tcMar>
          </w:tcPr>
          <w:p>
            <w:r>
              <w:rPr>
                <w:b w:val="false"/>
                <w:bCs w:val="false"/>
                <w:color w:val="171717"/>
                <w:sz w:val="20"/>
                <w:szCs w:val="20"/>
              </w:rPr>
              <w:t xml:space="preserve">View their own lease(s), see the Full-Term Ownership and Early Purchase Option paths, connect a bank account, review and sign their agreement, view payment history, and manage their own account and notifications.</w:t>
            </w:r>
          </w:p>
        </w:tc>
      </w:tr>
    </w:tbl>
    <w:p>
      <w:pPr>
        <w:spacing w:before="200"/>
      </w:pPr>
    </w:p>
    <w:p>
      <w:pPr>
        <w:pStyle w:val="Heading1"/>
        <w:pBdr>
          <w:bottom w:val="single" w:color="C1272D" w:sz="6" w:space="4"/>
        </w:pBdr>
        <w:spacing w:after="160" w:before="360"/>
      </w:pPr>
      <w:r>
        <w:rPr>
          <w:b/>
          <w:bCs/>
          <w:color w:val="171717"/>
          <w:sz w:val="30"/>
          <w:szCs w:val="30"/>
        </w:rPr>
        <w:t xml:space="preserve">2. Super Admin Procedure</w:t>
      </w:r>
    </w:p>
    <w:p>
      <w:pPr>
        <w:spacing w:after="160" w:line="276"/>
      </w:pPr>
      <w:r>
        <w:rPr>
          <w:color w:val="171717"/>
          <w:sz w:val="21"/>
          <w:szCs w:val="21"/>
        </w:rPr>
        <w:t xml:space="preserve">The Super Admin is the only role that can create and manage other staff (Admin) accounts. Everything below happens on the "Admin Accounts" page, which only Super Admins can see.</w:t>
      </w:r>
    </w:p>
    <w:p>
      <w:pPr>
        <w:pStyle w:val="Heading2"/>
        <w:spacing w:after="120" w:before="260"/>
      </w:pPr>
      <w:r>
        <w:rPr>
          <w:b/>
          <w:bCs/>
          <w:color w:val="C1272D"/>
          <w:sz w:val="24"/>
          <w:szCs w:val="24"/>
        </w:rPr>
        <w:t xml:space="preserve">2.1 Creating a new Admin account</w:t>
      </w:r>
    </w:p>
    <w:p>
      <w:pPr>
        <w:pStyle w:val="ListParagraph"/>
        <w:numPr>
          <w:ilvl w:val="0"/>
          <w:numId w:val="2"/>
        </w:numPr>
        <w:spacing w:after="100" w:line="270"/>
      </w:pPr>
      <w:r>
        <w:rPr>
          <w:color w:val="171717"/>
          <w:sz w:val="21"/>
          <w:szCs w:val="21"/>
        </w:rPr>
        <w:t xml:space="preserve">The Super Admin opens Admin Accounts and clicks "Add Admin."</w:t>
      </w:r>
    </w:p>
    <w:p>
      <w:pPr>
        <w:pStyle w:val="ListParagraph"/>
        <w:numPr>
          <w:ilvl w:val="0"/>
          <w:numId w:val="2"/>
        </w:numPr>
        <w:spacing w:after="100" w:line="270"/>
      </w:pPr>
      <w:r>
        <w:rPr>
          <w:color w:val="171717"/>
          <w:sz w:val="21"/>
          <w:szCs w:val="21"/>
        </w:rPr>
        <w:t xml:space="preserve">They enter the new staff member's name, email, and choose which permissions to restrict (see below). Leaving all permissions unchecked gives that admin full access.</w:t>
      </w:r>
    </w:p>
    <w:p>
      <w:pPr>
        <w:pStyle w:val="ListParagraph"/>
        <w:numPr>
          <w:ilvl w:val="0"/>
          <w:numId w:val="2"/>
        </w:numPr>
        <w:spacing w:after="100" w:line="270"/>
      </w:pPr>
      <w:r>
        <w:rPr>
          <w:color w:val="171717"/>
          <w:sz w:val="21"/>
          <w:szCs w:val="21"/>
        </w:rPr>
        <w:t xml:space="preserve">The system creates the account and automatically emails the new admin a branded welcome email containing their login email and a temporary password, so they can log in immediately without the Super Admin having to share credentials manually.</w:t>
      </w:r>
    </w:p>
    <w:p>
      <w:pPr>
        <w:pStyle w:val="Heading2"/>
        <w:spacing w:after="120" w:before="260"/>
      </w:pPr>
      <w:r>
        <w:rPr>
          <w:b/>
          <w:bCs/>
          <w:color w:val="C1272D"/>
          <w:sz w:val="24"/>
          <w:szCs w:val="24"/>
        </w:rPr>
        <w:t xml:space="preserve">2.2 Editing or removing an Admin</w:t>
      </w:r>
    </w:p>
    <w:p>
      <w:pPr>
        <w:pStyle w:val="ListParagraph"/>
        <w:numPr>
          <w:ilvl w:val="0"/>
          <w:numId w:val="3"/>
        </w:numPr>
        <w:spacing w:after="90" w:line="270"/>
      </w:pPr>
      <w:r>
        <w:rPr>
          <w:color w:val="171717"/>
          <w:sz w:val="21"/>
          <w:szCs w:val="21"/>
        </w:rPr>
        <w:t xml:space="preserve">Details (name, email, permissions) can be updated at any time from the same page.</w:t>
      </w:r>
    </w:p>
    <w:p>
      <w:pPr>
        <w:pStyle w:val="ListParagraph"/>
        <w:numPr>
          <w:ilvl w:val="0"/>
          <w:numId w:val="3"/>
        </w:numPr>
        <w:spacing w:after="90" w:line="270"/>
      </w:pPr>
      <w:r>
        <w:rPr>
          <w:color w:val="171717"/>
          <w:sz w:val="21"/>
          <w:szCs w:val="21"/>
        </w:rPr>
        <w:t xml:space="preserve">An Admin account can be deleted if the staff member no longer needs access.</w:t>
      </w:r>
    </w:p>
    <w:p>
      <w:pPr>
        <w:pStyle w:val="Heading2"/>
        <w:spacing w:after="120" w:before="260"/>
      </w:pPr>
      <w:r>
        <w:rPr>
          <w:b/>
          <w:bCs/>
          <w:color w:val="C1272D"/>
          <w:sz w:val="24"/>
          <w:szCs w:val="24"/>
        </w:rPr>
        <w:t xml:space="preserve">2.3 How permission restrictions work</w:t>
      </w:r>
    </w:p>
    <w:p>
      <w:pPr>
        <w:spacing w:after="160" w:line="276"/>
      </w:pPr>
      <w:r>
        <w:rPr>
          <w:color w:val="171717"/>
          <w:sz w:val="21"/>
          <w:szCs w:val="21"/>
        </w:rPr>
        <w:t xml:space="preserve">This is important: the permission list is a RESTRICTION list, not a grant list. By default, every new Admin has full access to everything an Admin can do. Checking a permission box does not "turn on" that feature — it turns off everything else and limits that Admin to only the checked areas. An Admin with zero boxes checked can see and do everything; an Admin with one box checked is limited to only that area.</w:t>
      </w:r>
    </w:p>
    <w:p>
      <w:pPr>
        <w:spacing w:after="160" w:line="276"/>
      </w:pPr>
      <w:r>
        <w:rPr>
          <w:color w:val="171717"/>
          <w:sz w:val="21"/>
          <w:szCs w:val="21"/>
        </w:rPr>
        <w:t xml:space="preserve">The available restriction areas are:</w:t>
      </w:r>
    </w:p>
    <w:p>
      <w:pPr>
        <w:pStyle w:val="ListParagraph"/>
        <w:numPr>
          <w:ilvl w:val="0"/>
          <w:numId w:val="3"/>
        </w:numPr>
        <w:spacing w:after="90" w:line="270"/>
      </w:pPr>
      <w:r>
        <w:rPr>
          <w:color w:val="171717"/>
          <w:sz w:val="21"/>
          <w:szCs w:val="21"/>
        </w:rPr>
        <w:t xml:space="preserve">Application Review — reviewing and processing lease applications, and access to the Customer Accounts list.</w:t>
      </w:r>
    </w:p>
    <w:p>
      <w:pPr>
        <w:pStyle w:val="ListParagraph"/>
        <w:numPr>
          <w:ilvl w:val="0"/>
          <w:numId w:val="3"/>
        </w:numPr>
        <w:spacing w:after="90" w:line="270"/>
      </w:pPr>
      <w:r>
        <w:rPr>
          <w:color w:val="171717"/>
          <w:sz w:val="21"/>
          <w:szCs w:val="21"/>
        </w:rPr>
        <w:t xml:space="preserve">Risk Assessment — the risk &amp; verification portion of the application workflow.</w:t>
      </w:r>
    </w:p>
    <w:p>
      <w:pPr>
        <w:pStyle w:val="ListParagraph"/>
        <w:numPr>
          <w:ilvl w:val="0"/>
          <w:numId w:val="3"/>
        </w:numPr>
        <w:spacing w:after="90" w:line="270"/>
      </w:pPr>
      <w:r>
        <w:rPr>
          <w:color w:val="171717"/>
          <w:sz w:val="21"/>
          <w:szCs w:val="21"/>
        </w:rPr>
        <w:t xml:space="preserve">Contract Generation — generating and managing the Lease Purchase Agreement.</w:t>
      </w:r>
    </w:p>
    <w:p>
      <w:pPr>
        <w:pStyle w:val="ListParagraph"/>
        <w:numPr>
          <w:ilvl w:val="0"/>
          <w:numId w:val="3"/>
        </w:numPr>
        <w:spacing w:after="90" w:line="270"/>
      </w:pPr>
      <w:r>
        <w:rPr>
          <w:color w:val="171717"/>
          <w:sz w:val="21"/>
          <w:szCs w:val="21"/>
        </w:rPr>
        <w:t xml:space="preserve">Equipment Tracking — managing equipment records and service history.</w:t>
      </w:r>
    </w:p>
    <w:p>
      <w:pPr>
        <w:pStyle w:val="ListParagraph"/>
        <w:numPr>
          <w:ilvl w:val="0"/>
          <w:numId w:val="3"/>
        </w:numPr>
        <w:spacing w:after="90" w:line="270"/>
      </w:pPr>
      <w:r>
        <w:rPr>
          <w:color w:val="171717"/>
          <w:sz w:val="21"/>
          <w:szCs w:val="21"/>
        </w:rPr>
        <w:t xml:space="preserve">Payment Tracking — viewing and managing payment records.</w:t>
      </w:r>
    </w:p>
    <w:p>
      <w:pPr>
        <w:spacing w:after="160" w:line="276"/>
      </w:pPr>
      <w:r>
        <w:rPr>
          <w:color w:val="171717"/>
          <w:sz w:val="21"/>
          <w:szCs w:val="21"/>
        </w:rPr>
        <w:t xml:space="preserve">In practice, this lets you give a narrowly-scoped staff member (say, someone who only checks risk on applications) an account that shows them only that slice of the system, while a general admin sees everything.</w:t>
      </w:r>
    </w:p>
    <w:p>
      <w:pPr>
        <w:pStyle w:val="Heading1"/>
        <w:pBdr>
          <w:bottom w:val="single" w:color="C1272D" w:sz="6" w:space="4"/>
        </w:pBdr>
        <w:spacing w:after="160" w:before="360"/>
      </w:pPr>
      <w:r>
        <w:rPr>
          <w:b/>
          <w:bCs/>
          <w:color w:val="171717"/>
          <w:sz w:val="30"/>
          <w:szCs w:val="30"/>
        </w:rPr>
        <w:t xml:space="preserve">3. Admin Procedure</w:t>
      </w:r>
    </w:p>
    <w:p>
      <w:pPr>
        <w:pStyle w:val="Heading2"/>
        <w:spacing w:after="120" w:before="260"/>
      </w:pPr>
      <w:r>
        <w:rPr>
          <w:b/>
          <w:bCs/>
          <w:color w:val="C1272D"/>
          <w:sz w:val="24"/>
          <w:szCs w:val="24"/>
        </w:rPr>
        <w:t xml:space="preserve">3.1 Logging in and what they see</w:t>
      </w:r>
    </w:p>
    <w:p>
      <w:pPr>
        <w:spacing w:after="160" w:line="276"/>
      </w:pPr>
      <w:r>
        <w:rPr>
          <w:color w:val="171717"/>
          <w:sz w:val="21"/>
          <w:szCs w:val="21"/>
        </w:rPr>
        <w:t xml:space="preserve">After logging in, an Admin's navigation bar and dashboard only show the tabs their permissions allow. A restricted admin never sees a tab for something they aren't permitted to touch — there's no need to hide buttons manually, the system does it automatically based on the permission list set by the Super Admin.</w:t>
      </w:r>
    </w:p>
    <w:p>
      <w:pPr>
        <w:pStyle w:val="Heading2"/>
        <w:spacing w:after="120" w:before="260"/>
      </w:pPr>
      <w:r>
        <w:rPr>
          <w:b/>
          <w:bCs/>
          <w:color w:val="C1272D"/>
          <w:sz w:val="24"/>
          <w:szCs w:val="24"/>
        </w:rPr>
        <w:t xml:space="preserve">3.2 The lease application pipeline</w:t>
      </w:r>
    </w:p>
    <w:p>
      <w:pPr>
        <w:spacing w:after="160" w:line="276"/>
      </w:pPr>
      <w:r>
        <w:rPr>
          <w:color w:val="171717"/>
          <w:sz w:val="21"/>
          <w:szCs w:val="21"/>
        </w:rPr>
        <w:t xml:space="preserve">Every application an admin creates or reviews moves through a defined status pipeline:</w:t>
      </w:r>
    </w:p>
    <w:tbl>
      <w:tblPr>
        <w:tblW w:type="dxa" w:w="10035"/>
        <w:tblBorders>
          <w:top w:val="single" w:color="auto" w:sz="4"/>
          <w:left w:val="single" w:color="auto" w:sz="4"/>
          <w:bottom w:val="single" w:color="auto" w:sz="4"/>
          <w:right w:val="single" w:color="auto" w:sz="4"/>
          <w:insideH w:val="single" w:color="auto" w:sz="4"/>
          <w:insideV w:val="single" w:color="auto" w:sz="4"/>
        </w:tblBorders>
      </w:tblPr>
      <w:tblGrid>
        <w:gridCol w:w="3010"/>
        <w:gridCol w:w="7025"/>
      </w:tblGrid>
      <w:tr>
        <w:trPr>
          <w:tblHeader/>
        </w:trPr>
        <w:tc>
          <w:tcPr>
            <w:tcW w:type="dxa" w:w="3010"/>
            <w:shd w:fill="171717" w:color="auto" w:val="clear"/>
            <w:tcMar>
              <w:top w:type="dxa" w:w="100"/>
              <w:left w:type="dxa" w:w="120"/>
              <w:bottom w:type="dxa" w:w="100"/>
              <w:right w:type="dxa" w:w="120"/>
            </w:tcMar>
          </w:tcPr>
          <w:p>
            <w:r>
              <w:rPr>
                <w:b/>
                <w:bCs/>
                <w:color w:val="FFFFFF"/>
                <w:sz w:val="20"/>
                <w:szCs w:val="20"/>
              </w:rPr>
              <w:t xml:space="preserve">Status</w:t>
            </w:r>
          </w:p>
        </w:tc>
        <w:tc>
          <w:tcPr>
            <w:tcW w:type="dxa" w:w="7025"/>
            <w:shd w:fill="171717" w:color="auto" w:val="clear"/>
            <w:tcMar>
              <w:top w:type="dxa" w:w="100"/>
              <w:left w:type="dxa" w:w="120"/>
              <w:bottom w:type="dxa" w:w="100"/>
              <w:right w:type="dxa" w:w="120"/>
            </w:tcMar>
          </w:tcPr>
          <w:p>
            <w:r>
              <w:rPr>
                <w:b/>
                <w:bCs/>
                <w:color w:val="FFFFFF"/>
                <w:sz w:val="20"/>
                <w:szCs w:val="20"/>
              </w:rPr>
              <w:t xml:space="preserve">Meaning</w:t>
            </w:r>
          </w:p>
        </w:tc>
      </w:tr>
      <w:tr>
        <w:tc>
          <w:tcPr>
            <w:tcW w:type="dxa" w:w="3010"/>
            <w:tcMar>
              <w:top w:type="dxa" w:w="100"/>
              <w:left w:type="dxa" w:w="120"/>
              <w:bottom w:type="dxa" w:w="100"/>
              <w:right w:type="dxa" w:w="120"/>
            </w:tcMar>
          </w:tcPr>
          <w:p>
            <w:r>
              <w:rPr>
                <w:b w:val="false"/>
                <w:bCs w:val="false"/>
                <w:color w:val="171717"/>
                <w:sz w:val="20"/>
                <w:szCs w:val="20"/>
              </w:rPr>
              <w:t xml:space="preserve">Submitted</w:t>
            </w:r>
          </w:p>
        </w:tc>
        <w:tc>
          <w:tcPr>
            <w:tcW w:type="dxa" w:w="7025"/>
            <w:tcMar>
              <w:top w:type="dxa" w:w="100"/>
              <w:left w:type="dxa" w:w="120"/>
              <w:bottom w:type="dxa" w:w="100"/>
              <w:right w:type="dxa" w:w="120"/>
            </w:tcMar>
          </w:tcPr>
          <w:p>
            <w:r>
              <w:rPr>
                <w:b w:val="false"/>
                <w:bCs w:val="false"/>
                <w:color w:val="171717"/>
                <w:sz w:val="20"/>
                <w:szCs w:val="20"/>
              </w:rPr>
              <w:t xml:space="preserve">The application has just been created (by an admin filling out the wizard) and is waiting for review.</w:t>
            </w:r>
          </w:p>
        </w:tc>
      </w:tr>
      <w:tr>
        <w:tc>
          <w:tcPr>
            <w:tcW w:type="dxa" w:w="3010"/>
            <w:shd w:fill="F2F2F2" w:color="auto" w:val="clear"/>
            <w:tcMar>
              <w:top w:type="dxa" w:w="100"/>
              <w:left w:type="dxa" w:w="120"/>
              <w:bottom w:type="dxa" w:w="100"/>
              <w:right w:type="dxa" w:w="120"/>
            </w:tcMar>
          </w:tcPr>
          <w:p>
            <w:r>
              <w:rPr>
                <w:b w:val="false"/>
                <w:bCs w:val="false"/>
                <w:color w:val="171717"/>
                <w:sz w:val="20"/>
                <w:szCs w:val="20"/>
              </w:rPr>
              <w:t xml:space="preserve">Under Review</w:t>
            </w:r>
          </w:p>
        </w:tc>
        <w:tc>
          <w:tcPr>
            <w:tcW w:type="dxa" w:w="7025"/>
            <w:shd w:fill="F2F2F2" w:color="auto" w:val="clear"/>
            <w:tcMar>
              <w:top w:type="dxa" w:w="100"/>
              <w:left w:type="dxa" w:w="120"/>
              <w:bottom w:type="dxa" w:w="100"/>
              <w:right w:type="dxa" w:w="120"/>
            </w:tcMar>
          </w:tcPr>
          <w:p>
            <w:r>
              <w:rPr>
                <w:b w:val="false"/>
                <w:bCs w:val="false"/>
                <w:color w:val="171717"/>
                <w:sz w:val="20"/>
                <w:szCs w:val="20"/>
              </w:rPr>
              <w:t xml:space="preserve">An admin is actively checking the customer, equipment, and risk details.</w:t>
            </w:r>
          </w:p>
        </w:tc>
      </w:tr>
      <w:tr>
        <w:tc>
          <w:tcPr>
            <w:tcW w:type="dxa" w:w="3010"/>
            <w:tcMar>
              <w:top w:type="dxa" w:w="100"/>
              <w:left w:type="dxa" w:w="120"/>
              <w:bottom w:type="dxa" w:w="100"/>
              <w:right w:type="dxa" w:w="120"/>
            </w:tcMar>
          </w:tcPr>
          <w:p>
            <w:r>
              <w:rPr>
                <w:b w:val="false"/>
                <w:bCs w:val="false"/>
                <w:color w:val="171717"/>
                <w:sz w:val="20"/>
                <w:szCs w:val="20"/>
              </w:rPr>
              <w:t xml:space="preserve">Needs Info</w:t>
            </w:r>
          </w:p>
        </w:tc>
        <w:tc>
          <w:tcPr>
            <w:tcW w:type="dxa" w:w="7025"/>
            <w:tcMar>
              <w:top w:type="dxa" w:w="100"/>
              <w:left w:type="dxa" w:w="120"/>
              <w:bottom w:type="dxa" w:w="100"/>
              <w:right w:type="dxa" w:w="120"/>
            </w:tcMar>
          </w:tcPr>
          <w:p>
            <w:r>
              <w:rPr>
                <w:b w:val="false"/>
                <w:bCs w:val="false"/>
                <w:color w:val="171717"/>
                <w:sz w:val="20"/>
                <w:szCs w:val="20"/>
              </w:rPr>
              <w:t xml:space="preserve">A branch state — the admin has asked for more information or documents before proceeding.</w:t>
            </w:r>
          </w:p>
        </w:tc>
      </w:tr>
      <w:tr>
        <w:tc>
          <w:tcPr>
            <w:tcW w:type="dxa" w:w="3010"/>
            <w:shd w:fill="F2F2F2" w:color="auto" w:val="clear"/>
            <w:tcMar>
              <w:top w:type="dxa" w:w="100"/>
              <w:left w:type="dxa" w:w="120"/>
              <w:bottom w:type="dxa" w:w="100"/>
              <w:right w:type="dxa" w:w="120"/>
            </w:tcMar>
          </w:tcPr>
          <w:p>
            <w:r>
              <w:rPr>
                <w:b w:val="false"/>
                <w:bCs w:val="false"/>
                <w:color w:val="171717"/>
                <w:sz w:val="20"/>
                <w:szCs w:val="20"/>
              </w:rPr>
              <w:t xml:space="preserve">Approved</w:t>
            </w:r>
          </w:p>
        </w:tc>
        <w:tc>
          <w:tcPr>
            <w:tcW w:type="dxa" w:w="7025"/>
            <w:shd w:fill="F2F2F2" w:color="auto" w:val="clear"/>
            <w:tcMar>
              <w:top w:type="dxa" w:w="100"/>
              <w:left w:type="dxa" w:w="120"/>
              <w:bottom w:type="dxa" w:w="100"/>
              <w:right w:type="dxa" w:w="120"/>
            </w:tcMar>
          </w:tcPr>
          <w:p>
            <w:r>
              <w:rPr>
                <w:b w:val="false"/>
                <w:bCs w:val="false"/>
                <w:color w:val="171717"/>
                <w:sz w:val="20"/>
                <w:szCs w:val="20"/>
              </w:rPr>
              <w:t xml:space="preserve">The application passed review and is cleared to move toward a lease.</w:t>
            </w:r>
          </w:p>
        </w:tc>
      </w:tr>
      <w:tr>
        <w:tc>
          <w:tcPr>
            <w:tcW w:type="dxa" w:w="3010"/>
            <w:tcMar>
              <w:top w:type="dxa" w:w="100"/>
              <w:left w:type="dxa" w:w="120"/>
              <w:bottom w:type="dxa" w:w="100"/>
              <w:right w:type="dxa" w:w="120"/>
            </w:tcMar>
          </w:tcPr>
          <w:p>
            <w:r>
              <w:rPr>
                <w:b w:val="false"/>
                <w:bCs w:val="false"/>
                <w:color w:val="171717"/>
                <w:sz w:val="20"/>
                <w:szCs w:val="20"/>
              </w:rPr>
              <w:t xml:space="preserve">Completed</w:t>
            </w:r>
          </w:p>
        </w:tc>
        <w:tc>
          <w:tcPr>
            <w:tcW w:type="dxa" w:w="7025"/>
            <w:tcMar>
              <w:top w:type="dxa" w:w="100"/>
              <w:left w:type="dxa" w:w="120"/>
              <w:bottom w:type="dxa" w:w="100"/>
              <w:right w:type="dxa" w:w="120"/>
            </w:tcMar>
          </w:tcPr>
          <w:p>
            <w:r>
              <w:rPr>
                <w:b w:val="false"/>
                <w:bCs w:val="false"/>
                <w:color w:val="171717"/>
                <w:sz w:val="20"/>
                <w:szCs w:val="20"/>
              </w:rPr>
              <w:t xml:space="preserve">The lease paperwork and setup steps have been finished.</w:t>
            </w:r>
          </w:p>
        </w:tc>
      </w:tr>
      <w:tr>
        <w:tc>
          <w:tcPr>
            <w:tcW w:type="dxa" w:w="3010"/>
            <w:shd w:fill="F2F2F2" w:color="auto" w:val="clear"/>
            <w:tcMar>
              <w:top w:type="dxa" w:w="100"/>
              <w:left w:type="dxa" w:w="120"/>
              <w:bottom w:type="dxa" w:w="100"/>
              <w:right w:type="dxa" w:w="120"/>
            </w:tcMar>
          </w:tcPr>
          <w:p>
            <w:r>
              <w:rPr>
                <w:b w:val="false"/>
                <w:bCs w:val="false"/>
                <w:color w:val="171717"/>
                <w:sz w:val="20"/>
                <w:szCs w:val="20"/>
              </w:rPr>
              <w:t xml:space="preserve">Processed</w:t>
            </w:r>
          </w:p>
        </w:tc>
        <w:tc>
          <w:tcPr>
            <w:tcW w:type="dxa" w:w="7025"/>
            <w:shd w:fill="F2F2F2" w:color="auto" w:val="clear"/>
            <w:tcMar>
              <w:top w:type="dxa" w:w="100"/>
              <w:left w:type="dxa" w:w="120"/>
              <w:bottom w:type="dxa" w:w="100"/>
              <w:right w:type="dxa" w:w="120"/>
            </w:tcMar>
          </w:tcPr>
          <w:p>
            <w:r>
              <w:rPr>
                <w:b w:val="false"/>
                <w:bCs w:val="false"/>
                <w:color w:val="171717"/>
                <w:sz w:val="20"/>
                <w:szCs w:val="20"/>
              </w:rPr>
              <w:t xml:space="preserve">The lease has been processed internally (accounting/back-office step).</w:t>
            </w:r>
          </w:p>
        </w:tc>
      </w:tr>
      <w:tr>
        <w:tc>
          <w:tcPr>
            <w:tcW w:type="dxa" w:w="3010"/>
            <w:tcMar>
              <w:top w:type="dxa" w:w="100"/>
              <w:left w:type="dxa" w:w="120"/>
              <w:bottom w:type="dxa" w:w="100"/>
              <w:right w:type="dxa" w:w="120"/>
            </w:tcMar>
          </w:tcPr>
          <w:p>
            <w:r>
              <w:rPr>
                <w:b w:val="false"/>
                <w:bCs w:val="false"/>
                <w:color w:val="171717"/>
                <w:sz w:val="20"/>
                <w:szCs w:val="20"/>
              </w:rPr>
              <w:t xml:space="preserve">Funded</w:t>
            </w:r>
          </w:p>
        </w:tc>
        <w:tc>
          <w:tcPr>
            <w:tcW w:type="dxa" w:w="7025"/>
            <w:tcMar>
              <w:top w:type="dxa" w:w="100"/>
              <w:left w:type="dxa" w:w="120"/>
              <w:bottom w:type="dxa" w:w="100"/>
              <w:right w:type="dxa" w:w="120"/>
            </w:tcMar>
          </w:tcPr>
          <w:p>
            <w:r>
              <w:rPr>
                <w:b w:val="false"/>
                <w:bCs w:val="false"/>
                <w:color w:val="171717"/>
                <w:sz w:val="20"/>
                <w:szCs w:val="20"/>
              </w:rPr>
              <w:t xml:space="preserve">Funds have moved and the lease is officially active — the end of the main pipeline.</w:t>
            </w:r>
          </w:p>
        </w:tc>
      </w:tr>
      <w:tr>
        <w:tc>
          <w:tcPr>
            <w:tcW w:type="dxa" w:w="3010"/>
            <w:shd w:fill="F2F2F2" w:color="auto" w:val="clear"/>
            <w:tcMar>
              <w:top w:type="dxa" w:w="100"/>
              <w:left w:type="dxa" w:w="120"/>
              <w:bottom w:type="dxa" w:w="100"/>
              <w:right w:type="dxa" w:w="120"/>
            </w:tcMar>
          </w:tcPr>
          <w:p>
            <w:r>
              <w:rPr>
                <w:b w:val="false"/>
                <w:bCs w:val="false"/>
                <w:color w:val="171717"/>
                <w:sz w:val="20"/>
                <w:szCs w:val="20"/>
              </w:rPr>
              <w:t xml:space="preserve">Declined</w:t>
            </w:r>
          </w:p>
        </w:tc>
        <w:tc>
          <w:tcPr>
            <w:tcW w:type="dxa" w:w="7025"/>
            <w:shd w:fill="F2F2F2" w:color="auto" w:val="clear"/>
            <w:tcMar>
              <w:top w:type="dxa" w:w="100"/>
              <w:left w:type="dxa" w:w="120"/>
              <w:bottom w:type="dxa" w:w="100"/>
              <w:right w:type="dxa" w:w="120"/>
            </w:tcMar>
          </w:tcPr>
          <w:p>
            <w:r>
              <w:rPr>
                <w:b w:val="false"/>
                <w:bCs w:val="false"/>
                <w:color w:val="171717"/>
                <w:sz w:val="20"/>
                <w:szCs w:val="20"/>
              </w:rPr>
              <w:t xml:space="preserve">A branch state — the application was rejected.</w:t>
            </w:r>
          </w:p>
        </w:tc>
      </w:tr>
      <w:tr>
        <w:tc>
          <w:tcPr>
            <w:tcW w:type="dxa" w:w="3010"/>
            <w:tcMar>
              <w:top w:type="dxa" w:w="100"/>
              <w:left w:type="dxa" w:w="120"/>
              <w:bottom w:type="dxa" w:w="100"/>
              <w:right w:type="dxa" w:w="120"/>
            </w:tcMar>
          </w:tcPr>
          <w:p>
            <w:r>
              <w:rPr>
                <w:b w:val="false"/>
                <w:bCs w:val="false"/>
                <w:color w:val="171717"/>
                <w:sz w:val="20"/>
                <w:szCs w:val="20"/>
              </w:rPr>
              <w:t xml:space="preserve">Withdrawn</w:t>
            </w:r>
          </w:p>
        </w:tc>
        <w:tc>
          <w:tcPr>
            <w:tcW w:type="dxa" w:w="7025"/>
            <w:tcMar>
              <w:top w:type="dxa" w:w="100"/>
              <w:left w:type="dxa" w:w="120"/>
              <w:bottom w:type="dxa" w:w="100"/>
              <w:right w:type="dxa" w:w="120"/>
            </w:tcMar>
          </w:tcPr>
          <w:p>
            <w:r>
              <w:rPr>
                <w:b w:val="false"/>
                <w:bCs w:val="false"/>
                <w:color w:val="171717"/>
                <w:sz w:val="20"/>
                <w:szCs w:val="20"/>
              </w:rPr>
              <w:t xml:space="preserve">A branch state — the customer or admin withdrew the application before a decision.</w:t>
            </w:r>
          </w:p>
        </w:tc>
      </w:tr>
    </w:tbl>
    <w:p>
      <w:pPr>
        <w:spacing w:before="200"/>
      </w:pPr>
    </w:p>
    <w:p>
      <w:pPr>
        <w:pStyle w:val="Heading2"/>
        <w:spacing w:after="120" w:before="260"/>
      </w:pPr>
      <w:r>
        <w:rPr>
          <w:b/>
          <w:bCs/>
          <w:color w:val="C1272D"/>
          <w:sz w:val="24"/>
          <w:szCs w:val="24"/>
        </w:rPr>
        <w:t xml:space="preserve">3.3 Creating a new application — the 4-step wizard</w:t>
      </w:r>
    </w:p>
    <w:p>
      <w:pPr>
        <w:spacing w:after="160" w:line="276"/>
      </w:pPr>
      <w:r>
        <w:rPr>
          <w:color w:val="171717"/>
          <w:sz w:val="21"/>
          <w:szCs w:val="21"/>
        </w:rPr>
        <w:t xml:space="preserve">An admin starts a new lease application through a guided, 4-step wizard:</w:t>
      </w:r>
    </w:p>
    <w:p>
      <w:pPr>
        <w:pStyle w:val="ListParagraph"/>
        <w:numPr>
          <w:ilvl w:val="0"/>
          <w:numId w:val="2"/>
        </w:numPr>
        <w:spacing w:after="100" w:line="270"/>
      </w:pPr>
      <w:r>
        <w:rPr>
          <w:color w:val="171717"/>
          <w:sz w:val="21"/>
          <w:szCs w:val="21"/>
        </w:rPr>
        <w:t xml:space="preserve">Equipment — select the equipment/unit being leased.</w:t>
      </w:r>
    </w:p>
    <w:p>
      <w:pPr>
        <w:pStyle w:val="ListParagraph"/>
        <w:numPr>
          <w:ilvl w:val="0"/>
          <w:numId w:val="2"/>
        </w:numPr>
        <w:spacing w:after="100" w:line="270"/>
      </w:pPr>
      <w:r>
        <w:rPr>
          <w:color w:val="171717"/>
          <w:sz w:val="21"/>
          <w:szCs w:val="21"/>
        </w:rPr>
        <w:t xml:space="preserve">Lease Details — set term length, cash price, tax rate, and other terms; the monthly rental payment and total pricing update live as these are changed.</w:t>
      </w:r>
    </w:p>
    <w:p>
      <w:pPr>
        <w:pStyle w:val="ListParagraph"/>
        <w:numPr>
          <w:ilvl w:val="0"/>
          <w:numId w:val="2"/>
        </w:numPr>
        <w:spacing w:after="100" w:line="270"/>
      </w:pPr>
      <w:r>
        <w:rPr>
          <w:color w:val="171717"/>
          <w:sz w:val="21"/>
          <w:szCs w:val="21"/>
        </w:rPr>
        <w:t xml:space="preserve">Customer Info — enter or select the customer's details (including their zip code, which can be entered at the very start and is remembered through the rest of the flow).</w:t>
      </w:r>
    </w:p>
    <w:p>
      <w:pPr>
        <w:pStyle w:val="ListParagraph"/>
        <w:numPr>
          <w:ilvl w:val="0"/>
          <w:numId w:val="2"/>
        </w:numPr>
        <w:spacing w:after="100" w:line="270"/>
      </w:pPr>
      <w:r>
        <w:rPr>
          <w:color w:val="171717"/>
          <w:sz w:val="21"/>
          <w:szCs w:val="21"/>
        </w:rPr>
        <w:t xml:space="preserve">Risk &amp; Verification — capture the risk-assessment and verification details before submitting.</w:t>
      </w:r>
    </w:p>
    <w:p>
      <w:pPr>
        <w:pStyle w:val="Heading2"/>
        <w:spacing w:after="120" w:before="260"/>
      </w:pPr>
      <w:r>
        <w:rPr>
          <w:b/>
          <w:bCs/>
          <w:color w:val="C1272D"/>
          <w:sz w:val="24"/>
          <w:szCs w:val="24"/>
        </w:rPr>
        <w:t xml:space="preserve">3.4 Managing customers</w:t>
      </w:r>
    </w:p>
    <w:p>
      <w:pPr>
        <w:pStyle w:val="ListParagraph"/>
        <w:numPr>
          <w:ilvl w:val="0"/>
          <w:numId w:val="3"/>
        </w:numPr>
        <w:spacing w:after="90" w:line="270"/>
      </w:pPr>
      <w:r>
        <w:rPr>
          <w:color w:val="171717"/>
          <w:sz w:val="21"/>
          <w:szCs w:val="21"/>
        </w:rPr>
        <w:t xml:space="preserve">Admins with Application Review access can open Customer Accounts to create a new customer, edit any of their details (including resetting their password, which triggers a real email), or soft-delete a customer (the record is hidden from normal views but not permanently destroyed, so it can be recovered if needed).</w:t>
      </w:r>
    </w:p>
    <w:p>
      <w:pPr>
        <w:pStyle w:val="Heading2"/>
        <w:spacing w:after="120" w:before="260"/>
      </w:pPr>
      <w:r>
        <w:rPr>
          <w:b/>
          <w:bCs/>
          <w:color w:val="C1272D"/>
          <w:sz w:val="24"/>
          <w:szCs w:val="24"/>
        </w:rPr>
        <w:t xml:space="preserve">3.5 Contracts</w:t>
      </w:r>
    </w:p>
    <w:p>
      <w:pPr>
        <w:pStyle w:val="ListParagraph"/>
        <w:numPr>
          <w:ilvl w:val="0"/>
          <w:numId w:val="3"/>
        </w:numPr>
        <w:spacing w:after="90" w:line="270"/>
      </w:pPr>
      <w:r>
        <w:rPr>
          <w:color w:val="171717"/>
          <w:sz w:val="21"/>
          <w:szCs w:val="21"/>
        </w:rPr>
        <w:t xml:space="preserve">Once a lease is set up, the admin can view and print the signed Lease Purchase Agreement, formatted to match the customer's actual signed paperwork, including the full legal terms.</w:t>
      </w:r>
    </w:p>
    <w:p>
      <w:pPr>
        <w:pStyle w:val="Heading2"/>
        <w:spacing w:after="120" w:before="260"/>
      </w:pPr>
      <w:r>
        <w:rPr>
          <w:b/>
          <w:bCs/>
          <w:color w:val="C1272D"/>
          <w:sz w:val="24"/>
          <w:szCs w:val="24"/>
        </w:rPr>
        <w:t xml:space="preserve">3.6 Notifications</w:t>
      </w:r>
    </w:p>
    <w:p>
      <w:pPr>
        <w:spacing w:after="160" w:line="276"/>
      </w:pPr>
      <w:r>
        <w:rPr>
          <w:color w:val="171717"/>
          <w:sz w:val="21"/>
          <w:szCs w:val="21"/>
        </w:rPr>
        <w:t xml:space="preserve">Admins get real, live notifications in the bell icon at the top of every admin page — not sample data. They are notified when: a new customer registers, a new Admin account is created, and a customer successfully verifies their bank account through Plaid. Clicking a notification marks it read and can link straight to the relevant record.</w:t>
      </w:r>
    </w:p>
    <w:p>
      <w:pPr>
        <w:pStyle w:val="Heading1"/>
        <w:pBdr>
          <w:bottom w:val="single" w:color="C1272D" w:sz="6" w:space="4"/>
        </w:pBdr>
        <w:spacing w:after="160" w:before="360"/>
      </w:pPr>
      <w:r>
        <w:rPr>
          <w:b/>
          <w:bCs/>
          <w:color w:val="171717"/>
          <w:sz w:val="30"/>
          <w:szCs w:val="30"/>
        </w:rPr>
        <w:t xml:space="preserve">4. Customer Procedure</w:t>
      </w:r>
    </w:p>
    <w:p>
      <w:pPr>
        <w:pStyle w:val="Heading2"/>
        <w:spacing w:after="120" w:before="260"/>
      </w:pPr>
      <w:r>
        <w:rPr>
          <w:b/>
          <w:bCs/>
          <w:color w:val="C1272D"/>
          <w:sz w:val="24"/>
          <w:szCs w:val="24"/>
        </w:rPr>
        <w:t xml:space="preserve">4.1 Getting started</w:t>
      </w:r>
    </w:p>
    <w:p>
      <w:pPr>
        <w:pStyle w:val="ListParagraph"/>
        <w:numPr>
          <w:ilvl w:val="0"/>
          <w:numId w:val="3"/>
        </w:numPr>
        <w:spacing w:after="90" w:line="270"/>
      </w:pPr>
      <w:r>
        <w:rPr>
          <w:color w:val="171717"/>
          <w:sz w:val="21"/>
          <w:szCs w:val="21"/>
        </w:rPr>
        <w:t xml:space="preserve">A customer creates an account (or one is created for them by an admin) and logs in to their own portal, separate from the admin side.</w:t>
      </w:r>
    </w:p>
    <w:p>
      <w:pPr>
        <w:pStyle w:val="Heading2"/>
        <w:spacing w:after="120" w:before="260"/>
      </w:pPr>
      <w:r>
        <w:rPr>
          <w:b/>
          <w:bCs/>
          <w:color w:val="C1272D"/>
          <w:sz w:val="24"/>
          <w:szCs w:val="24"/>
        </w:rPr>
        <w:t xml:space="preserve">4.2 "My Lease"</w:t>
      </w:r>
    </w:p>
    <w:p>
      <w:pPr>
        <w:spacing w:after="160" w:line="276"/>
      </w:pPr>
      <w:r>
        <w:rPr>
          <w:color w:val="171717"/>
          <w:sz w:val="21"/>
          <w:szCs w:val="21"/>
        </w:rPr>
        <w:t xml:space="preserve">The customer's home page lists all of their leases. Opening a lease shows two paths to full ownership, side by side:</w:t>
      </w:r>
    </w:p>
    <w:p>
      <w:pPr>
        <w:pStyle w:val="ListParagraph"/>
        <w:numPr>
          <w:ilvl w:val="0"/>
          <w:numId w:val="3"/>
        </w:numPr>
        <w:spacing w:after="90" w:line="270"/>
      </w:pPr>
      <w:r>
        <w:rPr>
          <w:color w:val="171717"/>
          <w:sz w:val="21"/>
          <w:szCs w:val="21"/>
        </w:rPr>
        <w:t xml:space="preserve">Path 1 — Full-Term Ownership: keep making the scheduled monthly payments through the end of the lease term; ownership transfers automatically at the final payment.</w:t>
      </w:r>
    </w:p>
    <w:p>
      <w:pPr>
        <w:pStyle w:val="ListParagraph"/>
        <w:numPr>
          <w:ilvl w:val="0"/>
          <w:numId w:val="3"/>
        </w:numPr>
        <w:spacing w:after="90" w:line="270"/>
      </w:pPr>
      <w:r>
        <w:rPr>
          <w:color w:val="171717"/>
          <w:sz w:val="21"/>
          <w:szCs w:val="21"/>
        </w:rPr>
        <w:t xml:space="preserve">Path 2 — Early Purchase Option (EPO): pay off the equipment early for a calculated payoff amount, shown with a live schedule of what that amount would be at each future month (see Section 5 below for the exact formula).</w:t>
      </w:r>
    </w:p>
    <w:p>
      <w:pPr>
        <w:pStyle w:val="Heading2"/>
        <w:spacing w:after="120" w:before="260"/>
      </w:pPr>
      <w:r>
        <w:rPr>
          <w:b/>
          <w:bCs/>
          <w:color w:val="C1272D"/>
          <w:sz w:val="24"/>
          <w:szCs w:val="24"/>
        </w:rPr>
        <w:t xml:space="preserve">4.3 Bank verification</w:t>
      </w:r>
    </w:p>
    <w:p>
      <w:pPr>
        <w:spacing w:after="160" w:line="276"/>
      </w:pPr>
      <w:r>
        <w:rPr>
          <w:color w:val="171717"/>
          <w:sz w:val="21"/>
          <w:szCs w:val="21"/>
        </w:rPr>
        <w:t xml:space="preserve">From their Account page, a customer connects their bank account through Plaid, a secure third-party bank-verification service. This is a real, live integration — the customer's bank is actually verified, not simulated — and a confirmation notification is sent once it succeeds.</w:t>
      </w:r>
    </w:p>
    <w:p>
      <w:pPr>
        <w:pStyle w:val="Heading2"/>
        <w:spacing w:after="120" w:before="260"/>
      </w:pPr>
      <w:r>
        <w:rPr>
          <w:b/>
          <w:bCs/>
          <w:color w:val="C1272D"/>
          <w:sz w:val="24"/>
          <w:szCs w:val="24"/>
        </w:rPr>
        <w:t xml:space="preserve">4.4 Contracts and e-signature</w:t>
      </w:r>
    </w:p>
    <w:p>
      <w:pPr>
        <w:pStyle w:val="ListParagraph"/>
        <w:numPr>
          <w:ilvl w:val="0"/>
          <w:numId w:val="3"/>
        </w:numPr>
        <w:spacing w:after="90" w:line="270"/>
      </w:pPr>
      <w:r>
        <w:rPr>
          <w:color w:val="171717"/>
          <w:sz w:val="21"/>
          <w:szCs w:val="21"/>
        </w:rPr>
        <w:t xml:space="preserve">Customers can review their Lease Purchase Agreement in full and sign it electronically from the Contracts section.</w:t>
      </w:r>
    </w:p>
    <w:p>
      <w:pPr>
        <w:pStyle w:val="Heading2"/>
        <w:spacing w:after="120" w:before="260"/>
      </w:pPr>
      <w:r>
        <w:rPr>
          <w:b/>
          <w:bCs/>
          <w:color w:val="C1272D"/>
          <w:sz w:val="24"/>
          <w:szCs w:val="24"/>
        </w:rPr>
        <w:t xml:space="preserve">4.5 Payments and account</w:t>
      </w:r>
    </w:p>
    <w:p>
      <w:pPr>
        <w:pStyle w:val="ListParagraph"/>
        <w:numPr>
          <w:ilvl w:val="0"/>
          <w:numId w:val="3"/>
        </w:numPr>
        <w:spacing w:after="90" w:line="270"/>
      </w:pPr>
      <w:r>
        <w:rPr>
          <w:color w:val="171717"/>
          <w:sz w:val="21"/>
          <w:szCs w:val="21"/>
        </w:rPr>
        <w:t xml:space="preserve">Payments — a running history of payments made against the lease.</w:t>
      </w:r>
    </w:p>
    <w:p>
      <w:pPr>
        <w:pStyle w:val="ListParagraph"/>
        <w:numPr>
          <w:ilvl w:val="0"/>
          <w:numId w:val="3"/>
        </w:numPr>
        <w:spacing w:after="90" w:line="270"/>
      </w:pPr>
      <w:r>
        <w:rPr>
          <w:color w:val="171717"/>
          <w:sz w:val="21"/>
          <w:szCs w:val="21"/>
        </w:rPr>
        <w:t xml:space="preserve">Account — profile details, notification preferences, and bank verification status all live here.</w:t>
      </w:r>
    </w:p>
    <w:p>
      <w:pPr>
        <w:pStyle w:val="Heading2"/>
        <w:spacing w:after="120" w:before="260"/>
      </w:pPr>
      <w:r>
        <w:rPr>
          <w:b/>
          <w:bCs/>
          <w:color w:val="C1272D"/>
          <w:sz w:val="24"/>
          <w:szCs w:val="24"/>
        </w:rPr>
        <w:t xml:space="preserve">4.6 Notifications</w:t>
      </w:r>
    </w:p>
    <w:p>
      <w:pPr>
        <w:spacing w:after="160" w:line="276"/>
      </w:pPr>
      <w:r>
        <w:rPr>
          <w:color w:val="171717"/>
          <w:sz w:val="21"/>
          <w:szCs w:val="21"/>
        </w:rPr>
        <w:t xml:space="preserve">Customers also receive real, live notifications (for example, bank verification confirmations) in their own notification bell and on the All Notifications page.</w:t>
      </w:r>
    </w:p>
    <w:p>
      <w:pPr>
        <w:pStyle w:val="Heading1"/>
        <w:pBdr>
          <w:bottom w:val="single" w:color="C1272D" w:sz="6" w:space="4"/>
        </w:pBdr>
        <w:spacing w:after="160" w:before="360"/>
      </w:pPr>
      <w:r>
        <w:rPr>
          <w:b/>
          <w:bCs/>
          <w:color w:val="171717"/>
          <w:sz w:val="30"/>
          <w:szCs w:val="30"/>
        </w:rPr>
        <w:t xml:space="preserve">5. The Early Purchase Option (EPO) Formula</w:t>
      </w:r>
    </w:p>
    <w:p>
      <w:pPr>
        <w:spacing w:after="160" w:line="276"/>
      </w:pPr>
      <w:r>
        <w:rPr>
          <w:color w:val="171717"/>
          <w:sz w:val="21"/>
          <w:szCs w:val="21"/>
        </w:rPr>
        <w:t xml:space="preserve">This is the exact formula from your signed lease agreement, and it is what the platform now calculates everywhere the Early Purchase Option is shown (the lease detail page, the EPO schedule page, and the printed contract).</w:t>
      </w:r>
    </w:p>
    <w:p>
      <w:pPr>
        <w:pStyle w:val="Heading2"/>
        <w:spacing w:after="120" w:before="260"/>
      </w:pPr>
      <w:r>
        <w:rPr>
          <w:b/>
          <w:bCs/>
          <w:color w:val="C1272D"/>
          <w:sz w:val="24"/>
          <w:szCs w:val="24"/>
        </w:rPr>
        <w:t xml:space="preserve">5.1 Within the first 90 days of the lease</w:t>
      </w:r>
    </w:p>
    <w:p>
      <w:pPr>
        <w:spacing w:after="160" w:line="276"/>
      </w:pPr>
      <w:r>
        <w:rPr>
          <w:b/>
          <w:bCs/>
          <w:color w:val="171717"/>
          <w:sz w:val="21"/>
          <w:szCs w:val="21"/>
        </w:rPr>
        <w:t xml:space="preserve">EPO payoff = Cash Price − Rental payments already made.</w:t>
      </w:r>
    </w:p>
    <w:p>
      <w:pPr>
        <w:spacing w:after="160" w:line="276"/>
      </w:pPr>
      <w:r>
        <w:rPr>
          <w:color w:val="171717"/>
          <w:sz w:val="21"/>
          <w:szCs w:val="21"/>
        </w:rPr>
        <w:t xml:space="preserve">Taxes and fees are not part of this number — they are calculated separately at the time the customer actually exercises the option.</w:t>
      </w:r>
    </w:p>
    <w:p>
      <w:pPr>
        <w:pStyle w:val="Heading2"/>
        <w:spacing w:after="120" w:before="260"/>
      </w:pPr>
      <w:r>
        <w:rPr>
          <w:b/>
          <w:bCs/>
          <w:color w:val="C1272D"/>
          <w:sz w:val="24"/>
          <w:szCs w:val="24"/>
        </w:rPr>
        <w:t xml:space="preserve">5.2 After the first 90 days</w:t>
      </w:r>
    </w:p>
    <w:p>
      <w:pPr>
        <w:spacing w:after="160" w:line="276"/>
      </w:pPr>
      <w:r>
        <w:rPr>
          <w:b/>
          <w:bCs/>
          <w:color w:val="171717"/>
          <w:sz w:val="21"/>
          <w:szCs w:val="21"/>
        </w:rPr>
        <w:t xml:space="preserve">EPO payoff = Cash Price − (50% × Rental payments scheduled to date) + Rental payments still owed + Any additional funds due.</w:t>
      </w:r>
    </w:p>
    <w:p>
      <w:pPr>
        <w:spacing w:after="160" w:line="276"/>
      </w:pPr>
      <w:r>
        <w:rPr>
          <w:color w:val="171717"/>
          <w:sz w:val="21"/>
          <w:szCs w:val="21"/>
        </w:rPr>
        <w:t xml:space="preserve">"Scheduled to date" means the payments that should have been made by that point in the schedule (not necessarily what was actually paid). "Still owed" is the remaining scheduled payments from that point to the end of the term. "Additional funds" covers any other amounts owed under the agreement (e.g. late fees or repair charges), and defaults to zero when there are none.</w:t>
      </w:r>
    </w:p>
    <w:p>
      <w:pPr>
        <w:pStyle w:val="Heading2"/>
        <w:spacing w:after="120" w:before="260"/>
      </w:pPr>
      <w:r>
        <w:rPr>
          <w:b/>
          <w:bCs/>
          <w:color w:val="C1272D"/>
          <w:sz w:val="24"/>
          <w:szCs w:val="24"/>
        </w:rPr>
        <w:t xml:space="preserve">5.3 Taxes and full-term payoff</w:t>
      </w:r>
    </w:p>
    <w:p>
      <w:pPr>
        <w:pStyle w:val="ListParagraph"/>
        <w:numPr>
          <w:ilvl w:val="0"/>
          <w:numId w:val="3"/>
        </w:numPr>
        <w:spacing w:after="90" w:line="270"/>
      </w:pPr>
      <w:r>
        <w:rPr>
          <w:color w:val="171717"/>
          <w:sz w:val="21"/>
          <w:szCs w:val="21"/>
        </w:rPr>
        <w:t xml:space="preserve">Taxes are always added on top of the EPO number at the moment the customer exercises the option — they are not baked into the EPO figure itself.</w:t>
      </w:r>
    </w:p>
    <w:p>
      <w:pPr>
        <w:pStyle w:val="ListParagraph"/>
        <w:numPr>
          <w:ilvl w:val="0"/>
          <w:numId w:val="3"/>
        </w:numPr>
        <w:spacing w:after="90" w:line="270"/>
      </w:pPr>
      <w:r>
        <w:rPr>
          <w:color w:val="171717"/>
          <w:sz w:val="21"/>
          <w:szCs w:val="21"/>
        </w:rPr>
        <w:t xml:space="preserve">Once the customer reaches the final month of the term, the EPO is $0 because ownership has already transferred through the Full-Term Ownership path (Section 4.2, Path 1) instead.</w:t>
      </w:r>
    </w:p>
    <w:p>
      <w:pPr>
        <w:spacing w:after="160" w:line="276"/>
      </w:pPr>
      <w:r>
        <w:rPr>
          <w:color w:val="171717"/>
          <w:sz w:val="21"/>
          <w:szCs w:val="21"/>
        </w:rPr>
        <w:t xml:space="preserve">This formula was cross-checked against the reference numbers used earlier in the build and confirmed to match exactly for every month of the term, then applied consistently across the lease detail page, the EPO schedule page, and the printed Lease Purchase Agreement.</w:t>
      </w:r>
    </w:p>
    <w:p>
      <w:pPr>
        <w:pStyle w:val="Heading1"/>
        <w:pBdr>
          <w:bottom w:val="single" w:color="C1272D" w:sz="6" w:space="4"/>
        </w:pBdr>
        <w:spacing w:after="160" w:before="360"/>
      </w:pPr>
      <w:r>
        <w:rPr>
          <w:b/>
          <w:bCs/>
          <w:color w:val="171717"/>
          <w:sz w:val="30"/>
          <w:szCs w:val="30"/>
        </w:rPr>
        <w:t xml:space="preserve">6. What's Real Today vs. What's Still Sample Data</w:t>
      </w:r>
    </w:p>
    <w:p>
      <w:pPr>
        <w:spacing w:after="160" w:line="276"/>
      </w:pPr>
      <w:r>
        <w:rPr>
          <w:color w:val="171717"/>
          <w:sz w:val="21"/>
          <w:szCs w:val="21"/>
        </w:rPr>
        <w:t xml:space="preserve">In the spirit of full transparency, here is exactly what is genuinely live and working versus what is currently shown with placeholder/sample data while later milestones are built out.</w:t>
      </w:r>
    </w:p>
    <w:p>
      <w:pPr>
        <w:pStyle w:val="Heading2"/>
        <w:spacing w:after="120" w:before="260"/>
      </w:pPr>
      <w:r>
        <w:rPr>
          <w:b/>
          <w:bCs/>
          <w:color w:val="C1272D"/>
          <w:sz w:val="24"/>
          <w:szCs w:val="24"/>
        </w:rPr>
        <w:t xml:space="preserve">6.1 Real and working right now</w:t>
      </w:r>
    </w:p>
    <w:p>
      <w:pPr>
        <w:pStyle w:val="ListParagraph"/>
        <w:numPr>
          <w:ilvl w:val="0"/>
          <w:numId w:val="3"/>
        </w:numPr>
        <w:spacing w:after="90" w:line="270"/>
      </w:pPr>
      <w:r>
        <w:rPr>
          <w:color w:val="171717"/>
          <w:sz w:val="21"/>
          <w:szCs w:val="21"/>
        </w:rPr>
        <w:t xml:space="preserve">Customer and Admin accounts, login, and the full permission-restriction system described in Section 2.3.</w:t>
      </w:r>
    </w:p>
    <w:p>
      <w:pPr>
        <w:pStyle w:val="ListParagraph"/>
        <w:numPr>
          <w:ilvl w:val="0"/>
          <w:numId w:val="3"/>
        </w:numPr>
        <w:spacing w:after="90" w:line="270"/>
      </w:pPr>
      <w:r>
        <w:rPr>
          <w:color w:val="171717"/>
          <w:sz w:val="21"/>
          <w:szCs w:val="21"/>
        </w:rPr>
        <w:t xml:space="preserve">Admin account creation, including the automatic branded welcome email with real login credentials.</w:t>
      </w:r>
    </w:p>
    <w:p>
      <w:pPr>
        <w:pStyle w:val="ListParagraph"/>
        <w:numPr>
          <w:ilvl w:val="0"/>
          <w:numId w:val="3"/>
        </w:numPr>
        <w:spacing w:after="90" w:line="270"/>
      </w:pPr>
      <w:r>
        <w:rPr>
          <w:color w:val="171717"/>
          <w:sz w:val="21"/>
          <w:szCs w:val="21"/>
        </w:rPr>
        <w:t xml:space="preserve">Plaid bank verification — real API calls to Plaid's platform, not a simulation.</w:t>
      </w:r>
    </w:p>
    <w:p>
      <w:pPr>
        <w:pStyle w:val="ListParagraph"/>
        <w:numPr>
          <w:ilvl w:val="0"/>
          <w:numId w:val="3"/>
        </w:numPr>
        <w:spacing w:after="90" w:line="270"/>
      </w:pPr>
      <w:r>
        <w:rPr>
          <w:color w:val="171717"/>
          <w:sz w:val="21"/>
          <w:szCs w:val="21"/>
        </w:rPr>
        <w:t xml:space="preserve">The Early Purchase Option pricing math described in Section 5.</w:t>
      </w:r>
    </w:p>
    <w:p>
      <w:pPr>
        <w:pStyle w:val="ListParagraph"/>
        <w:numPr>
          <w:ilvl w:val="0"/>
          <w:numId w:val="3"/>
        </w:numPr>
        <w:spacing w:after="90" w:line="270"/>
      </w:pPr>
      <w:r>
        <w:rPr>
          <w:color w:val="171717"/>
          <w:sz w:val="21"/>
          <w:szCs w:val="21"/>
        </w:rPr>
        <w:t xml:space="preserve">The in-app notification system — new customer signups, new admin accounts, and bank verification events all generate real, database-backed notifications with accurate unread counts.</w:t>
      </w:r>
    </w:p>
    <w:p>
      <w:pPr>
        <w:pStyle w:val="ListParagraph"/>
        <w:numPr>
          <w:ilvl w:val="0"/>
          <w:numId w:val="3"/>
        </w:numPr>
        <w:spacing w:after="90" w:line="270"/>
      </w:pPr>
      <w:r>
        <w:rPr>
          <w:color w:val="171717"/>
          <w:sz w:val="21"/>
          <w:szCs w:val="21"/>
        </w:rPr>
        <w:t xml:space="preserve">Soft-delete on customer records, and full edit/password-reset functionality for customers.</w:t>
      </w:r>
    </w:p>
    <w:p>
      <w:pPr>
        <w:pStyle w:val="Heading2"/>
        <w:spacing w:after="120" w:before="260"/>
      </w:pPr>
      <w:r>
        <w:rPr>
          <w:b/>
          <w:bCs/>
          <w:color w:val="C1272D"/>
          <w:sz w:val="24"/>
          <w:szCs w:val="24"/>
        </w:rPr>
        <w:t xml:space="preserve">6.2 Still sample data for now</w:t>
      </w:r>
    </w:p>
    <w:p>
      <w:pPr>
        <w:pStyle w:val="ListParagraph"/>
        <w:numPr>
          <w:ilvl w:val="0"/>
          <w:numId w:val="3"/>
        </w:numPr>
        <w:spacing w:after="90" w:line="270"/>
      </w:pPr>
      <w:r>
        <w:rPr>
          <w:color w:val="171717"/>
          <w:sz w:val="21"/>
          <w:szCs w:val="21"/>
        </w:rPr>
        <w:t xml:space="preserve">The specific lease amounts, terms, and payment history currently shown are illustrative examples — they are not yet tied to a live, persisted payments and accounting system.</w:t>
      </w:r>
    </w:p>
    <w:p>
      <w:pPr>
        <w:pStyle w:val="ListParagraph"/>
        <w:numPr>
          <w:ilvl w:val="0"/>
          <w:numId w:val="3"/>
        </w:numPr>
        <w:spacing w:after="90" w:line="270"/>
      </w:pPr>
      <w:r>
        <w:rPr>
          <w:color w:val="171717"/>
          <w:sz w:val="21"/>
          <w:szCs w:val="21"/>
        </w:rPr>
        <w:t xml:space="preserve">Full end-to-end persistence of an application turning into a real lease, real scheduled payments, and real payment collection is part of the remaining milestones (Milestones 2, 5, 6, and 7 of the original 8-milestone project plan).</w:t>
      </w:r>
    </w:p>
    <w:p>
      <w:pPr>
        <w:spacing w:after="160" w:line="276"/>
      </w:pPr>
      <w:r>
        <w:rPr>
          <w:color w:val="171717"/>
          <w:sz w:val="21"/>
          <w:szCs w:val="21"/>
        </w:rPr>
        <w:t xml:space="preserve">As those milestones are completed, the screens described in this document will keep the same look and workflow you've already reviewed — the underlying data will simply switch from sample values to live, persisted records.</w:t>
      </w:r>
    </w:p>
    <w:p>
      <w:pPr>
        <w:pStyle w:val="Heading1"/>
        <w:pBdr>
          <w:bottom w:val="single" w:color="C1272D" w:sz="6" w:space="4"/>
        </w:pBdr>
        <w:spacing w:after="160" w:before="360"/>
      </w:pPr>
      <w:r>
        <w:rPr>
          <w:b/>
          <w:bCs/>
          <w:color w:val="171717"/>
          <w:sz w:val="30"/>
          <w:szCs w:val="30"/>
        </w:rPr>
        <w:t xml:space="preserve">7. What Happens Next</w:t>
      </w:r>
    </w:p>
    <w:p>
      <w:pPr>
        <w:spacing w:after="160" w:line="276"/>
      </w:pPr>
      <w:r>
        <w:rPr>
          <w:color w:val="171717"/>
          <w:sz w:val="21"/>
          <w:szCs w:val="21"/>
        </w:rPr>
        <w:t xml:space="preserve">The remaining milestones will connect the workflows in this document to live, persisted data end-to-end (applications → leases → payments). If anything in this document doesn't match how you'd like the platform to work, or if you spot something during testing that looks off, please send that feedback over directly and it will be addressed as part of the ongoing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2026-08-31T10:24:32.388Z</dcterms:created>
  <dcterms:modified xsi:type="dcterms:W3CDTF">2026-08-31T10:24:32.389Z</dcterms:modified>
</cp:coreProperties>
</file>

<file path=docProps/custom.xml><?xml version="1.0" encoding="utf-8"?>
<Properties xmlns="http://schemas.openxmlformats.org/officeDocument/2006/custom-properties" xmlns:vt="http://schemas.openxmlformats.org/officeDocument/2006/docPropsVTypes"/>
</file>