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2025//1442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1442/1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1.73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23.1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5.03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61.5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1442/2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1.95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4.67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2.72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16.6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1442/3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17.3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63.4 H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92.1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159 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1442/1D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16.9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64.8 H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92.4 H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159 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2025//1442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