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0" w:line="264" w:lineRule="auto"/>
      </w:pPr>
      <w:r>
        <w:rPr>
          <w:rFonts w:ascii="Calibri" w:hAnsi="Calibri"/>
          <w:b/>
          <w:i w:val="0"/>
          <w:color w:val="141C26"/>
          <w:sz w:val="46"/>
        </w:rPr>
        <w:t>POST-TRADE REVIEW</w:t>
      </w:r>
    </w:p>
    <w:p>
      <w:pPr>
        <w:spacing w:before="0" w:after="200" w:line="264" w:lineRule="auto"/>
      </w:pPr>
      <w:r>
        <w:rPr>
          <w:rFonts w:ascii="Calibri" w:hAnsi="Calibri"/>
          <w:b w:val="0"/>
          <w:i w:val="0"/>
          <w:color w:val="5A6675"/>
          <w:sz w:val="28"/>
        </w:rPr>
        <w:t>Full Swing Trade Failure Analysis</w:t>
      </w:r>
      <w:r>
        <w:rPr>
          <w:rFonts w:ascii="Calibri" w:hAnsi="Calibri"/>
          <w:b w:val="0"/>
          <w:i w:val="0"/>
          <w:color w:val="5A6675"/>
          <w:sz w:val="28"/>
        </w:rPr>
        <w:t xml:space="preserve"> - VINDHYATEL | DATAPATTNS | FINCABLES</w:t>
      </w:r>
    </w:p>
    <w:tbl>
      <w:tblPr>
        <w:tblW w:type="dxa" w:w="9360"/>
        <w:jc w:val="left"/>
        <w:tblLook w:firstColumn="1" w:firstRow="1" w:lastColumn="0" w:lastRow="0" w:noHBand="0" w:noVBand="1" w:val="04A0"/>
        <w:tblInd w:w="120" w:type="dxa"/>
        <w:tblLayout w:type="fixed"/>
      </w:tblPr>
      <w:tblGrid>
        <w:gridCol w:w="1872"/>
        <w:gridCol w:w="7488"/>
      </w:tblGrid>
      <w:tr>
        <w:tc>
          <w:tcPr>
            <w:tcW w:type="dxa" w:w="1872"/>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left"/>
            </w:pPr>
            <w:r>
              <w:rPr>
                <w:rFonts w:ascii="Calibri" w:hAnsi="Calibri"/>
                <w:b/>
                <w:color w:val="0B2545"/>
                <w:sz w:val="19"/>
              </w:rPr>
              <w:t>Prepared for</w:t>
            </w:r>
          </w:p>
        </w:tc>
        <w:tc>
          <w:tcPr>
            <w:tcW w:type="dxa" w:w="7488"/>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left"/>
            </w:pPr>
            <w:r>
              <w:rPr>
                <w:rFonts w:ascii="Calibri" w:hAnsi="Calibri"/>
                <w:b w:val="0"/>
                <w:color w:val="141C26"/>
                <w:sz w:val="19"/>
              </w:rPr>
              <w:t>Sentinel swing scanner review</w:t>
            </w:r>
          </w:p>
        </w:tc>
      </w:tr>
      <w:tr>
        <w:tc>
          <w:tcPr>
            <w:tcW w:type="dxa" w:w="1872"/>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left"/>
            </w:pPr>
            <w:r>
              <w:rPr>
                <w:rFonts w:ascii="Calibri" w:hAnsi="Calibri"/>
                <w:b/>
                <w:color w:val="0B2545"/>
                <w:sz w:val="19"/>
              </w:rPr>
              <w:t>Scope</w:t>
            </w:r>
          </w:p>
        </w:tc>
        <w:tc>
          <w:tcPr>
            <w:tcW w:type="dxa" w:w="7488"/>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left"/>
            </w:pPr>
            <w:r>
              <w:rPr>
                <w:rFonts w:ascii="Calibri" w:hAnsi="Calibri"/>
                <w:b w:val="0"/>
                <w:color w:val="141C26"/>
                <w:sz w:val="19"/>
              </w:rPr>
              <w:t>VINDHYATEL, DATAPATTNS, FINCABLES; Jun 2026 scan batch</w:t>
            </w:r>
          </w:p>
        </w:tc>
      </w:tr>
      <w:tr>
        <w:tc>
          <w:tcPr>
            <w:tcW w:type="dxa" w:w="1872"/>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left"/>
            </w:pPr>
            <w:r>
              <w:rPr>
                <w:rFonts w:ascii="Calibri" w:hAnsi="Calibri"/>
                <w:b/>
                <w:color w:val="0B2545"/>
                <w:sz w:val="19"/>
              </w:rPr>
              <w:t>Scan date</w:t>
            </w:r>
          </w:p>
        </w:tc>
        <w:tc>
          <w:tcPr>
            <w:tcW w:type="dxa" w:w="7488"/>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left"/>
            </w:pPr>
            <w:r>
              <w:rPr>
                <w:rFonts w:ascii="Calibri" w:hAnsi="Calibri"/>
                <w:b w:val="0"/>
                <w:color w:val="141C26"/>
                <w:sz w:val="19"/>
              </w:rPr>
              <w:t>20 Jun 2026, 20:58 IST</w:t>
            </w:r>
          </w:p>
        </w:tc>
      </w:tr>
      <w:tr>
        <w:tc>
          <w:tcPr>
            <w:tcW w:type="dxa" w:w="1872"/>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left"/>
            </w:pPr>
            <w:r>
              <w:rPr>
                <w:rFonts w:ascii="Calibri" w:hAnsi="Calibri"/>
                <w:b/>
                <w:color w:val="0B2545"/>
                <w:sz w:val="19"/>
              </w:rPr>
              <w:t>Entry window</w:t>
            </w:r>
          </w:p>
        </w:tc>
        <w:tc>
          <w:tcPr>
            <w:tcW w:type="dxa" w:w="7488"/>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left"/>
            </w:pPr>
            <w:r>
              <w:rPr>
                <w:rFonts w:ascii="Calibri" w:hAnsi="Calibri"/>
                <w:b w:val="0"/>
                <w:color w:val="141C26"/>
                <w:sz w:val="19"/>
              </w:rPr>
              <w:t>22-24 Jun 2026</w:t>
            </w:r>
          </w:p>
        </w:tc>
      </w:tr>
      <w:tr>
        <w:tc>
          <w:tcPr>
            <w:tcW w:type="dxa" w:w="1872"/>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left"/>
            </w:pPr>
            <w:r>
              <w:rPr>
                <w:rFonts w:ascii="Calibri" w:hAnsi="Calibri"/>
                <w:b/>
                <w:color w:val="0B2545"/>
                <w:sz w:val="19"/>
              </w:rPr>
              <w:t>Review date</w:t>
            </w:r>
          </w:p>
        </w:tc>
        <w:tc>
          <w:tcPr>
            <w:tcW w:type="dxa" w:w="7488"/>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left"/>
            </w:pPr>
            <w:r>
              <w:rPr>
                <w:rFonts w:ascii="Calibri" w:hAnsi="Calibri"/>
                <w:b w:val="0"/>
                <w:color w:val="141C26"/>
                <w:sz w:val="19"/>
              </w:rPr>
              <w:t>27 Jun 2026</w:t>
            </w:r>
          </w:p>
        </w:tc>
      </w:tr>
      <w:tr>
        <w:tc>
          <w:tcPr>
            <w:tcW w:type="dxa" w:w="1872"/>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left"/>
            </w:pPr>
            <w:r>
              <w:rPr>
                <w:rFonts w:ascii="Calibri" w:hAnsi="Calibri"/>
                <w:b/>
                <w:color w:val="0B2545"/>
                <w:sz w:val="19"/>
              </w:rPr>
              <w:t>Primary finding</w:t>
            </w:r>
          </w:p>
        </w:tc>
        <w:tc>
          <w:tcPr>
            <w:tcW w:type="dxa" w:w="7488"/>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left"/>
            </w:pPr>
            <w:r>
              <w:rPr>
                <w:rFonts w:ascii="Calibri" w:hAnsi="Calibri"/>
                <w:b w:val="0"/>
                <w:color w:val="141C26"/>
                <w:sz w:val="19"/>
              </w:rPr>
              <w:t>Daily trend scoring was strong, but timing and market-context gates were missing.</w:t>
            </w:r>
          </w:p>
        </w:tc>
      </w:tr>
    </w:tbl>
    <w:p>
      <w:pPr>
        <w:spacing w:before="200" w:after="240" w:line="264" w:lineRule="auto"/>
        <w:pBdr>
          <w:bottom w:val="single" w:sz="12" w:space="1" w:color="2E74B5"/>
        </w:pBdr>
      </w:pPr>
    </w:p>
    <w:p>
      <w:pPr>
        <w:pStyle w:val="Heading1"/>
      </w:pPr>
      <w:r>
        <w:t>Executive Summary</w:t>
      </w:r>
    </w:p>
    <w:tbl>
      <w:tblPr>
        <w:tblW w:type="dxa" w:w="9360"/>
        <w:jc w:val="left"/>
        <w:tblLook w:firstColumn="1" w:firstRow="1" w:lastColumn="0" w:lastRow="0" w:noHBand="0" w:noVBand="1" w:val="04A0"/>
        <w:tblInd w:w="120" w:type="dxa"/>
        <w:tblLayout w:type="fixed"/>
      </w:tblPr>
      <w:tblGrid>
        <w:gridCol w:w="9360"/>
      </w:tblGrid>
      <w:tr>
        <w:tc>
          <w:tcPr>
            <w:tcW w:type="dxa" w:w="9360"/>
            <w:tcMar>
              <w:top w:w="120" w:type="dxa"/>
              <w:start w:w="120" w:type="dxa"/>
              <w:bottom w:w="120" w:type="dxa"/>
              <w:end w:w="120" w:type="dxa"/>
            </w:tcMar>
            <w:tcBorders>
              <w:top w:val="single" w:sz="4" w:space="0" w:color="0B2545"/>
              <w:left w:val="single" w:sz="4" w:space="0" w:color="0B2545"/>
              <w:bottom w:val="single" w:sz="4" w:space="0" w:color="0B2545"/>
              <w:right w:val="single" w:sz="4" w:space="0" w:color="0B2545"/>
              <w:insideH w:val="single" w:sz="4" w:space="0" w:color="0B2545"/>
              <w:insideV w:val="single" w:sz="4" w:space="0" w:color="0B2545"/>
            </w:tcBorders>
            <w:vAlign w:val="center"/>
            <w:shd w:fill="0B2545"/>
          </w:tcPr>
          <w:p>
            <w:pPr>
              <w:spacing w:before="0" w:after="60" w:line="264" w:lineRule="auto"/>
            </w:pPr>
            <w:r/>
            <w:r>
              <w:rPr>
                <w:rFonts w:ascii="Calibri" w:hAnsi="Calibri"/>
                <w:b/>
                <w:i w:val="0"/>
                <w:color w:val="FFFFFF"/>
                <w:sz w:val="19"/>
              </w:rPr>
              <w:t>MAIN CONCLUSION</w:t>
            </w:r>
          </w:p>
          <w:p>
            <w:pPr>
              <w:spacing w:before="0" w:after="0" w:line="264" w:lineRule="auto"/>
            </w:pPr>
            <w:r>
              <w:rPr>
                <w:rFonts w:ascii="Calibri" w:hAnsi="Calibri"/>
                <w:b w:val="0"/>
                <w:i w:val="0"/>
                <w:color w:val="FFFFFF"/>
                <w:sz w:val="20"/>
              </w:rPr>
              <w:t>These were not three unrelated bad trades. The same scan batch selected stocks after extended moves, then allowed entries during a weak, directionless market window. The scanner recognized daily trend strength but did not protect the entry with market-regime, relative-strength, volume, and 15-minute structure gates.</w:t>
            </w:r>
          </w:p>
        </w:tc>
      </w:tr>
    </w:tbl>
    <w:p>
      <w:pPr>
        <w:spacing w:after="40"/>
      </w:pPr>
    </w:p>
    <w:p>
      <w:pPr>
        <w:spacing w:before="0" w:after="120" w:line="264" w:lineRule="auto"/>
      </w:pPr>
      <w:r>
        <w:rPr>
          <w:rFonts w:ascii="Calibri" w:hAnsi="Calibri"/>
          <w:b w:val="0"/>
          <w:i w:val="0"/>
          <w:color w:val="141C26"/>
          <w:sz w:val="22"/>
        </w:rPr>
        <w:t>The system was biased toward stocks that had already moved hard. That made the labels look attractive, especially 'Fresh Breakout' and 'Sector Leader', but the actual entry conditions were late. In VINDHYATEL the entry came into a reversal spike; in DATAPATTNS and FINCABLES, the intraday structure had already broken before the tracker marked entry.</w:t>
      </w:r>
    </w:p>
    <w:p>
      <w:pPr>
        <w:spacing w:before="0" w:after="120" w:line="264" w:lineRule="auto"/>
      </w:pPr>
      <w:r>
        <w:rPr>
          <w:rFonts w:ascii="Calibri" w:hAnsi="Calibri"/>
          <w:b w:val="0"/>
          <w:i w:val="0"/>
          <w:color w:val="141C26"/>
          <w:sz w:val="22"/>
        </w:rPr>
        <w:t>The result is a scanner that looked strong on paper but was selecting exhausted momentum. The fix is not to add more targets or average down. The fix is to stop saving or activating swing entries unless the broad market, stock leadership, volume sponsorship, and 15-minute structure all agree.</w:t>
      </w:r>
    </w:p>
    <w:p>
      <w:pPr>
        <w:pStyle w:val="Heading1"/>
      </w:pPr>
      <w:r>
        <w:t>Outcome Snapshot</w:t>
      </w:r>
    </w:p>
    <w:tbl>
      <w:tblPr>
        <w:tblStyle w:val="TableGrid"/>
        <w:tblW w:type="dxa" w:w="9360"/>
        <w:jc w:val="left"/>
        <w:tblLook w:firstColumn="1" w:firstRow="1" w:lastColumn="0" w:lastRow="0" w:noHBand="0" w:noVBand="1" w:val="04A0"/>
        <w:tblInd w:w="120" w:type="dxa"/>
        <w:tblLayout w:type="fixed"/>
      </w:tblPr>
      <w:tblGrid>
        <w:gridCol w:w="1512"/>
        <w:gridCol w:w="1224"/>
        <w:gridCol w:w="1080"/>
        <w:gridCol w:w="1224"/>
        <w:gridCol w:w="1296"/>
        <w:gridCol w:w="3024"/>
      </w:tblGrid>
      <w:tr>
        <w:tc>
          <w:tcPr>
            <w:tcW w:type="dxa" w:w="1512"/>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Stock</w:t>
            </w:r>
          </w:p>
        </w:tc>
        <w:tc>
          <w:tcPr>
            <w:tcW w:type="dxa" w:w="1224"/>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Status</w:t>
            </w:r>
          </w:p>
        </w:tc>
        <w:tc>
          <w:tcPr>
            <w:tcW w:type="dxa" w:w="108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P&amp;L</w:t>
            </w:r>
          </w:p>
        </w:tc>
        <w:tc>
          <w:tcPr>
            <w:tcW w:type="dxa" w:w="1224"/>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Entry</w:t>
            </w:r>
          </w:p>
        </w:tc>
        <w:tc>
          <w:tcPr>
            <w:tcW w:type="dxa" w:w="1296"/>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CMP/Exit</w:t>
            </w:r>
          </w:p>
        </w:tc>
        <w:tc>
          <w:tcPr>
            <w:tcW w:type="dxa" w:w="3024"/>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Core Issue</w:t>
            </w:r>
          </w:p>
        </w:tc>
      </w:tr>
      <w:tr>
        <w:tc>
          <w:tcPr>
            <w:tcW w:type="dxa" w:w="1512"/>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VINDHYATEL</w:t>
            </w:r>
          </w:p>
        </w:tc>
        <w:tc>
          <w:tcPr>
            <w:tcW w:type="dxa" w:w="1224"/>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SL hit</w:t>
            </w:r>
          </w:p>
        </w:tc>
        <w:tc>
          <w:tcPr>
            <w:tcW w:type="dxa" w:w="108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-9.45%</w:t>
            </w:r>
          </w:p>
        </w:tc>
        <w:tc>
          <w:tcPr>
            <w:tcW w:type="dxa" w:w="1224"/>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2424.52</w:t>
            </w:r>
          </w:p>
        </w:tc>
        <w:tc>
          <w:tcPr>
            <w:tcW w:type="dxa" w:w="1296"/>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left"/>
            </w:pPr>
            <w:r>
              <w:rPr>
                <w:rFonts w:ascii="Calibri" w:hAnsi="Calibri"/>
                <w:b w:val="0"/>
                <w:color w:val="141C26"/>
                <w:sz w:val="17"/>
              </w:rPr>
              <w:t>2141.20</w:t>
            </w:r>
          </w:p>
        </w:tc>
        <w:tc>
          <w:tcPr>
            <w:tcW w:type="dxa" w:w="3024"/>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left"/>
            </w:pPr>
            <w:r>
              <w:rPr>
                <w:rFonts w:ascii="Calibri" w:hAnsi="Calibri"/>
                <w:b w:val="0"/>
                <w:color w:val="141C26"/>
                <w:sz w:val="17"/>
              </w:rPr>
              <w:t>Late-stage entry after a 152% move; reversal hit immediately after activation.</w:t>
            </w:r>
          </w:p>
        </w:tc>
      </w:tr>
      <w:tr>
        <w:tc>
          <w:tcPr>
            <w:tcW w:type="dxa" w:w="1512"/>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DATAPATTNS</w:t>
            </w:r>
          </w:p>
        </w:tc>
        <w:tc>
          <w:tcPr>
            <w:tcW w:type="dxa" w:w="1224"/>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Active/open</w:t>
            </w:r>
          </w:p>
        </w:tc>
        <w:tc>
          <w:tcPr>
            <w:tcW w:type="dxa" w:w="108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-4.16%</w:t>
            </w:r>
          </w:p>
        </w:tc>
        <w:tc>
          <w:tcPr>
            <w:tcW w:type="dxa" w:w="1224"/>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4702.40</w:t>
            </w:r>
          </w:p>
        </w:tc>
        <w:tc>
          <w:tcPr>
            <w:tcW w:type="dxa" w:w="1296"/>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left"/>
            </w:pPr>
            <w:r>
              <w:rPr>
                <w:rFonts w:ascii="Calibri" w:hAnsi="Calibri"/>
                <w:b w:val="0"/>
                <w:color w:val="141C26"/>
                <w:sz w:val="17"/>
              </w:rPr>
              <w:t>4506.60</w:t>
            </w:r>
          </w:p>
        </w:tc>
        <w:tc>
          <w:tcPr>
            <w:tcW w:type="dxa" w:w="3024"/>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left"/>
            </w:pPr>
            <w:r>
              <w:rPr>
                <w:rFonts w:ascii="Calibri" w:hAnsi="Calibri"/>
                <w:b w:val="0"/>
                <w:color w:val="141C26"/>
                <w:sz w:val="17"/>
              </w:rPr>
              <w:t>Entry happened two days after the peak; 15-minute structure was already lower-high/lower-low.</w:t>
            </w:r>
          </w:p>
        </w:tc>
      </w:tr>
      <w:tr>
        <w:tc>
          <w:tcPr>
            <w:tcW w:type="dxa" w:w="1512"/>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FINCABLES</w:t>
            </w:r>
          </w:p>
        </w:tc>
        <w:tc>
          <w:tcPr>
            <w:tcW w:type="dxa" w:w="1224"/>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Active/open</w:t>
            </w:r>
          </w:p>
        </w:tc>
        <w:tc>
          <w:tcPr>
            <w:tcW w:type="dxa" w:w="108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-1.92%</w:t>
            </w:r>
          </w:p>
        </w:tc>
        <w:tc>
          <w:tcPr>
            <w:tcW w:type="dxa" w:w="1224"/>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1138.41</w:t>
            </w:r>
          </w:p>
        </w:tc>
        <w:tc>
          <w:tcPr>
            <w:tcW w:type="dxa" w:w="1296"/>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left"/>
            </w:pPr>
            <w:r>
              <w:rPr>
                <w:rFonts w:ascii="Calibri" w:hAnsi="Calibri"/>
                <w:b w:val="0"/>
                <w:color w:val="141C26"/>
                <w:sz w:val="17"/>
              </w:rPr>
              <w:t>1116.50</w:t>
            </w:r>
          </w:p>
        </w:tc>
        <w:tc>
          <w:tcPr>
            <w:tcW w:type="dxa" w:w="3024"/>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left"/>
            </w:pPr>
            <w:r>
              <w:rPr>
                <w:rFonts w:ascii="Calibri" w:hAnsi="Calibri"/>
                <w:b w:val="0"/>
                <w:color w:val="141C26"/>
                <w:sz w:val="17"/>
              </w:rPr>
              <w:t>Weak RS55 and below-average RVOL; label said sector leader but sponsorship was not present.</w:t>
            </w:r>
          </w:p>
        </w:tc>
      </w:tr>
    </w:tbl>
    <w:p>
      <w:pPr>
        <w:spacing w:after="80"/>
      </w:pPr>
    </w:p>
    <w:tbl>
      <w:tblPr>
        <w:tblW w:type="dxa" w:w="9360"/>
        <w:jc w:val="left"/>
        <w:tblLook w:firstColumn="1" w:firstRow="1" w:lastColumn="0" w:lastRow="0" w:noHBand="0" w:noVBand="1" w:val="04A0"/>
        <w:tblInd w:w="120" w:type="dxa"/>
        <w:tblLayout w:type="fixed"/>
      </w:tblPr>
      <w:tblGrid>
        <w:gridCol w:w="9360"/>
      </w:tblGrid>
      <w:tr>
        <w:tc>
          <w:tcPr>
            <w:tcW w:type="dxa" w:w="9360"/>
            <w:tcMar>
              <w:top w:w="120" w:type="dxa"/>
              <w:start w:w="120" w:type="dxa"/>
              <w:bottom w:w="120" w:type="dxa"/>
              <w:end w:w="120" w:type="dxa"/>
            </w:tcMar>
            <w:tcBorders>
              <w:top w:val="single" w:sz="4" w:space="0" w:color="B8C4D2"/>
              <w:left w:val="single" w:sz="4" w:space="0" w:color="B8C4D2"/>
              <w:bottom w:val="single" w:sz="4" w:space="0" w:color="B8C4D2"/>
              <w:right w:val="single" w:sz="4" w:space="0" w:color="B8C4D2"/>
              <w:insideH w:val="single" w:sz="4" w:space="0" w:color="B8C4D2"/>
              <w:insideV w:val="single" w:sz="4" w:space="0" w:color="B8C4D2"/>
            </w:tcBorders>
            <w:vAlign w:val="center"/>
            <w:shd w:fill="FFF3CD"/>
          </w:tcPr>
          <w:p>
            <w:pPr>
              <w:spacing w:before="0" w:after="60" w:line="264" w:lineRule="auto"/>
            </w:pPr>
            <w:r/>
            <w:r>
              <w:rPr>
                <w:rFonts w:ascii="Calibri" w:hAnsi="Calibri"/>
                <w:b/>
                <w:i w:val="0"/>
                <w:color w:val="7A5A00"/>
                <w:sz w:val="19"/>
              </w:rPr>
              <w:t>WHY ENTRIES WERE ALREADY IN LOSSES</w:t>
            </w:r>
          </w:p>
          <w:p>
            <w:pPr>
              <w:spacing w:before="0" w:after="0" w:line="264" w:lineRule="auto"/>
            </w:pPr>
            <w:r>
              <w:rPr>
                <w:rFonts w:ascii="Calibri" w:hAnsi="Calibri"/>
                <w:b w:val="0"/>
                <w:i w:val="0"/>
                <w:color w:val="141C26"/>
                <w:sz w:val="20"/>
              </w:rPr>
              <w:t>The swing tracker uses a stop-entry style: a stock can be scanned on one date, then become 'entered' only when price later touches the entry level. If the scan runs at night or after the move has already faded, CMP can be below entry while the tracker still records that an entry trigger happened. The tighter rule is to treat stale or broken 15-minute structure as 'do not enter', even if the daily chart still looks strong.</w:t>
            </w:r>
          </w:p>
        </w:tc>
      </w:tr>
    </w:tbl>
    <w:p>
      <w:pPr>
        <w:spacing w:after="40"/>
      </w:pPr>
    </w:p>
    <w:p>
      <w:pPr>
        <w:pStyle w:val="Heading1"/>
      </w:pPr>
      <w:r>
        <w:t>Common Failure Pattern</w:t>
      </w:r>
    </w:p>
    <w:tbl>
      <w:tblPr>
        <w:tblStyle w:val="TableGrid"/>
        <w:tblW w:type="dxa" w:w="9358"/>
        <w:jc w:val="left"/>
        <w:tblLook w:firstColumn="1" w:firstRow="1" w:lastColumn="0" w:lastRow="0" w:noHBand="0" w:noVBand="1" w:val="04A0"/>
        <w:tblInd w:w="120" w:type="dxa"/>
        <w:tblLayout w:type="fixed"/>
      </w:tblPr>
      <w:tblGrid>
        <w:gridCol w:w="1944"/>
        <w:gridCol w:w="2476"/>
        <w:gridCol w:w="2476"/>
        <w:gridCol w:w="2462"/>
      </w:tblGrid>
      <w:tr>
        <w:tc>
          <w:tcPr>
            <w:tcW w:type="dxa" w:w="1944"/>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Metric</w:t>
            </w:r>
          </w:p>
        </w:tc>
        <w:tc>
          <w:tcPr>
            <w:tcW w:type="dxa" w:w="2476"/>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VINDHYATEL</w:t>
            </w:r>
          </w:p>
        </w:tc>
        <w:tc>
          <w:tcPr>
            <w:tcW w:type="dxa" w:w="2476"/>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DATAPATTNS</w:t>
            </w:r>
          </w:p>
        </w:tc>
        <w:tc>
          <w:tcPr>
            <w:tcW w:type="dxa" w:w="2462"/>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FINCABLES</w:t>
            </w:r>
          </w:p>
        </w:tc>
      </w:tr>
      <w:tr>
        <w:tc>
          <w:tcPr>
            <w:tcW w:type="dxa" w:w="1944"/>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Scan score</w:t>
            </w:r>
          </w:p>
        </w:tc>
        <w:tc>
          <w:tcPr>
            <w:tcW w:type="dxa" w:w="2476"/>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90.8</w:t>
            </w:r>
          </w:p>
        </w:tc>
        <w:tc>
          <w:tcPr>
            <w:tcW w:type="dxa" w:w="2476"/>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90.9</w:t>
            </w:r>
          </w:p>
        </w:tc>
        <w:tc>
          <w:tcPr>
            <w:tcW w:type="dxa" w:w="2462"/>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89.7</w:t>
            </w:r>
          </w:p>
        </w:tc>
      </w:tr>
      <w:tr>
        <w:tc>
          <w:tcPr>
            <w:tcW w:type="dxa" w:w="1944"/>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Result</w:t>
            </w:r>
          </w:p>
        </w:tc>
        <w:tc>
          <w:tcPr>
            <w:tcW w:type="dxa" w:w="2476"/>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-9.45% closed</w:t>
            </w:r>
          </w:p>
        </w:tc>
        <w:tc>
          <w:tcPr>
            <w:tcW w:type="dxa" w:w="2476"/>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-4.16% open</w:t>
            </w:r>
          </w:p>
        </w:tc>
        <w:tc>
          <w:tcPr>
            <w:tcW w:type="dxa" w:w="2462"/>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-1.92% open</w:t>
            </w:r>
          </w:p>
        </w:tc>
      </w:tr>
      <w:tr>
        <w:tc>
          <w:tcPr>
            <w:tcW w:type="dxa" w:w="1944"/>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RS55</w:t>
            </w:r>
          </w:p>
        </w:tc>
        <w:tc>
          <w:tcPr>
            <w:tcW w:type="dxa" w:w="2476"/>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135.31 strong</w:t>
            </w:r>
          </w:p>
        </w:tc>
        <w:tc>
          <w:tcPr>
            <w:tcW w:type="dxa" w:w="2476"/>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47.71 weak</w:t>
            </w:r>
          </w:p>
        </w:tc>
        <w:tc>
          <w:tcPr>
            <w:tcW w:type="dxa" w:w="2462"/>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39.11 weakest</w:t>
            </w:r>
          </w:p>
        </w:tc>
      </w:tr>
      <w:tr>
        <w:tc>
          <w:tcPr>
            <w:tcW w:type="dxa" w:w="1944"/>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RVOL</w:t>
            </w:r>
          </w:p>
        </w:tc>
        <w:tc>
          <w:tcPr>
            <w:tcW w:type="dxa" w:w="2476"/>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1.2x marginal</w:t>
            </w:r>
          </w:p>
        </w:tc>
        <w:tc>
          <w:tcPr>
            <w:tcW w:type="dxa" w:w="2476"/>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1.1x marginal</w:t>
            </w:r>
          </w:p>
        </w:tc>
        <w:tc>
          <w:tcPr>
            <w:tcW w:type="dxa" w:w="2462"/>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0.75x below avg</w:t>
            </w:r>
          </w:p>
        </w:tc>
      </w:tr>
      <w:tr>
        <w:tc>
          <w:tcPr>
            <w:tcW w:type="dxa" w:w="1944"/>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Nifty context</w:t>
            </w:r>
          </w:p>
        </w:tc>
        <w:tc>
          <w:tcPr>
            <w:tcW w:type="dxa" w:w="2476"/>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ADX 18.73 neutral</w:t>
            </w:r>
          </w:p>
        </w:tc>
        <w:tc>
          <w:tcPr>
            <w:tcW w:type="dxa" w:w="2476"/>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ADX 18.73 neutral</w:t>
            </w:r>
          </w:p>
        </w:tc>
        <w:tc>
          <w:tcPr>
            <w:tcW w:type="dxa" w:w="2462"/>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ADX 18.73 neutral</w:t>
            </w:r>
          </w:p>
        </w:tc>
      </w:tr>
      <w:tr>
        <w:tc>
          <w:tcPr>
            <w:tcW w:type="dxa" w:w="1944"/>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15m at entry</w:t>
            </w:r>
          </w:p>
        </w:tc>
        <w:tc>
          <w:tcPr>
            <w:tcW w:type="dxa" w:w="2476"/>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Reversing spike</w:t>
            </w:r>
          </w:p>
        </w:tc>
        <w:tc>
          <w:tcPr>
            <w:tcW w:type="dxa" w:w="2476"/>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Declining 2 days</w:t>
            </w:r>
          </w:p>
        </w:tc>
        <w:tc>
          <w:tcPr>
            <w:tcW w:type="dxa" w:w="2462"/>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Declining 1 day</w:t>
            </w:r>
          </w:p>
        </w:tc>
      </w:tr>
      <w:tr>
        <w:tc>
          <w:tcPr>
            <w:tcW w:type="dxa" w:w="1944"/>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R:R</w:t>
            </w:r>
          </w:p>
        </w:tc>
        <w:tc>
          <w:tcPr>
            <w:tcW w:type="dxa" w:w="2476"/>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2.1:1 marginal</w:t>
            </w:r>
          </w:p>
        </w:tc>
        <w:tc>
          <w:tcPr>
            <w:tcW w:type="dxa" w:w="2476"/>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2.1:1 marginal</w:t>
            </w:r>
          </w:p>
        </w:tc>
        <w:tc>
          <w:tcPr>
            <w:tcW w:type="dxa" w:w="2462"/>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3.1:1 best</w:t>
            </w:r>
          </w:p>
        </w:tc>
      </w:tr>
      <w:tr>
        <w:tc>
          <w:tcPr>
            <w:tcW w:type="dxa" w:w="1944"/>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Verdict</w:t>
            </w:r>
          </w:p>
        </w:tc>
        <w:tc>
          <w:tcPr>
            <w:tcW w:type="dxa" w:w="2476"/>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No trade</w:t>
            </w:r>
          </w:p>
        </w:tc>
        <w:tc>
          <w:tcPr>
            <w:tcW w:type="dxa" w:w="2476"/>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No trade</w:t>
            </w:r>
          </w:p>
        </w:tc>
        <w:tc>
          <w:tcPr>
            <w:tcW w:type="dxa" w:w="2462"/>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No trade</w:t>
            </w:r>
          </w:p>
        </w:tc>
      </w:tr>
    </w:tbl>
    <w:p>
      <w:pPr>
        <w:spacing w:after="80"/>
      </w:pPr>
    </w:p>
    <w:p>
      <w:pPr>
        <w:keepNext/>
        <w:jc w:val="center"/>
      </w:pPr>
      <w:r>
        <w:drawing>
          <wp:inline xmlns:a="http://schemas.openxmlformats.org/drawingml/2006/main" xmlns:pic="http://schemas.openxmlformats.org/drawingml/2006/picture">
            <wp:extent cx="5715000" cy="4017238"/>
            <wp:docPr id="1" name="Picture 1"/>
            <wp:cNvGraphicFramePr>
              <a:graphicFrameLocks noChangeAspect="1"/>
            </wp:cNvGraphicFramePr>
            <a:graphic>
              <a:graphicData uri="http://schemas.openxmlformats.org/drawingml/2006/picture">
                <pic:pic>
                  <pic:nvPicPr>
                    <pic:cNvPr id="0" name="codex-clipboard-73c66888-2e0b-4c2c-ace3-c35d09ac1499.png"/>
                    <pic:cNvPicPr/>
                  </pic:nvPicPr>
                  <pic:blipFill>
                    <a:blip r:embed="rId11"/>
                    <a:stretch>
                      <a:fillRect/>
                    </a:stretch>
                  </pic:blipFill>
                  <pic:spPr>
                    <a:xfrm>
                      <a:off x="0" y="0"/>
                      <a:ext cx="5715000" cy="4017238"/>
                    </a:xfrm>
                    <a:prstGeom prst="rect"/>
                  </pic:spPr>
                </pic:pic>
              </a:graphicData>
            </a:graphic>
          </wp:inline>
        </w:drawing>
      </w:r>
    </w:p>
    <w:p>
      <w:pPr>
        <w:spacing w:before="0" w:after="160" w:line="240" w:lineRule="auto"/>
        <w:jc w:val="center"/>
      </w:pPr>
      <w:r>
        <w:rPr>
          <w:rFonts w:ascii="Calibri" w:hAnsi="Calibri"/>
          <w:b w:val="0"/>
          <w:i/>
          <w:color w:val="5A6675"/>
          <w:sz w:val="17"/>
        </w:rPr>
        <w:t>Figure 1. The same scan batch shared weak market context, marginal volume, and missing 15-minute confirmation.</w:t>
      </w:r>
    </w:p>
    <w:p>
      <w:pPr>
        <w:pStyle w:val="Heading1"/>
      </w:pPr>
      <w:r>
        <w:t>Trade 1: VINDHYATEL</w:t>
      </w:r>
    </w:p>
    <w:tbl>
      <w:tblPr>
        <w:tblW w:type="dxa" w:w="9360"/>
        <w:jc w:val="left"/>
        <w:tblLook w:firstColumn="1" w:firstRow="1" w:lastColumn="0" w:lastRow="0" w:noHBand="0" w:noVBand="1" w:val="04A0"/>
        <w:tblInd w:w="120" w:type="dxa"/>
        <w:tblLayout w:type="fixed"/>
      </w:tblPr>
      <w:tblGrid>
        <w:gridCol w:w="9360"/>
      </w:tblGrid>
      <w:tr>
        <w:tc>
          <w:tcPr>
            <w:tcW w:type="dxa" w:w="9360"/>
            <w:tcMar>
              <w:top w:w="120" w:type="dxa"/>
              <w:start w:w="120" w:type="dxa"/>
              <w:bottom w:w="120" w:type="dxa"/>
              <w:end w:w="120" w:type="dxa"/>
            </w:tcMar>
            <w:tcBorders>
              <w:top w:val="single" w:sz="4" w:space="0" w:color="B8C4D2"/>
              <w:left w:val="single" w:sz="4" w:space="0" w:color="B8C4D2"/>
              <w:bottom w:val="single" w:sz="4" w:space="0" w:color="B8C4D2"/>
              <w:right w:val="single" w:sz="4" w:space="0" w:color="B8C4D2"/>
              <w:insideH w:val="single" w:sz="4" w:space="0" w:color="B8C4D2"/>
              <w:insideV w:val="single" w:sz="4" w:space="0" w:color="B8C4D2"/>
            </w:tcBorders>
            <w:vAlign w:val="center"/>
            <w:shd w:fill="FDEAEA"/>
          </w:tcPr>
          <w:p>
            <w:pPr>
              <w:spacing w:before="0" w:after="60" w:line="264" w:lineRule="auto"/>
            </w:pPr>
            <w:r/>
            <w:r>
              <w:rPr>
                <w:rFonts w:ascii="Calibri" w:hAnsi="Calibri"/>
                <w:b/>
                <w:i w:val="0"/>
                <w:color w:val="9B1C1C"/>
                <w:sz w:val="19"/>
              </w:rPr>
              <w:t>VERDICT</w:t>
            </w:r>
          </w:p>
          <w:p>
            <w:pPr>
              <w:spacing w:before="0" w:after="0" w:line="264" w:lineRule="auto"/>
            </w:pPr>
            <w:r>
              <w:rPr>
                <w:rFonts w:ascii="Calibri" w:hAnsi="Calibri"/>
                <w:b w:val="0"/>
                <w:i w:val="0"/>
                <w:color w:val="141C26"/>
                <w:sz w:val="20"/>
              </w:rPr>
              <w:t>The scanner called this a fresh breakout, but the chart shows a late-stage parabolic move. A stock that has already travelled from roughly 960 to 2424 is no longer a clean early breakout; it is a chase unless it rebuilds a tight base.</w:t>
            </w:r>
          </w:p>
        </w:tc>
      </w:tr>
    </w:tbl>
    <w:p>
      <w:pPr>
        <w:spacing w:after="40"/>
      </w:pPr>
    </w:p>
    <w:tbl>
      <w:tblPr>
        <w:tblStyle w:val="TableGrid"/>
        <w:tblW w:type="dxa" w:w="9360"/>
        <w:jc w:val="left"/>
        <w:tblLook w:firstColumn="1" w:firstRow="1" w:lastColumn="0" w:lastRow="0" w:noHBand="0" w:noVBand="1" w:val="04A0"/>
        <w:tblInd w:w="120" w:type="dxa"/>
        <w:tblLayout w:type="fixed"/>
      </w:tblPr>
      <w:tblGrid>
        <w:gridCol w:w="1800"/>
        <w:gridCol w:w="1800"/>
        <w:gridCol w:w="5760"/>
      </w:tblGrid>
      <w:tr>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Field</w:t>
            </w:r>
          </w:p>
        </w:tc>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Value</w:t>
            </w:r>
          </w:p>
        </w:tc>
        <w:tc>
          <w:tcPr>
            <w:tcW w:type="dxa" w:w="576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Interpretation</w:t>
            </w:r>
          </w:p>
        </w:tc>
      </w:tr>
      <w:tr>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Entry</w:t>
            </w:r>
          </w:p>
        </w:tc>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2424.52</w:t>
            </w:r>
          </w:p>
        </w:tc>
        <w:tc>
          <w:tcPr>
            <w:tcW w:type="dxa" w:w="576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Entry was close to the exhaustion area, not near a fresh base.</w:t>
            </w:r>
          </w:p>
        </w:tc>
      </w:tr>
      <w:tr>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SL</w:t>
            </w:r>
          </w:p>
        </w:tc>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2195.47</w:t>
            </w:r>
          </w:p>
        </w:tc>
        <w:tc>
          <w:tcPr>
            <w:tcW w:type="dxa" w:w="576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Risk was about 229 points, roughly 9.5%.</w:t>
            </w:r>
          </w:p>
        </w:tc>
      </w:tr>
      <w:tr>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Target</w:t>
            </w:r>
          </w:p>
        </w:tc>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2909.42</w:t>
            </w:r>
          </w:p>
        </w:tc>
        <w:tc>
          <w:tcPr>
            <w:tcW w:type="dxa" w:w="576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A 20% target was too far for a 5-10 day tactical swing after such an extended move.</w:t>
            </w:r>
          </w:p>
        </w:tc>
      </w:tr>
      <w:tr>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Score</w:t>
            </w:r>
          </w:p>
        </w:tc>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90.8</w:t>
            </w:r>
          </w:p>
        </w:tc>
        <w:tc>
          <w:tcPr>
            <w:tcW w:type="dxa" w:w="576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High score was inflated by trend strength without timing protection.</w:t>
            </w:r>
          </w:p>
        </w:tc>
      </w:tr>
      <w:tr>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Market context</w:t>
            </w:r>
          </w:p>
        </w:tc>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Nifty ADX 18.73</w:t>
            </w:r>
          </w:p>
        </w:tc>
        <w:tc>
          <w:tcPr>
            <w:tcW w:type="dxa" w:w="576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Directionless broad market reduced follow-through odds.</w:t>
            </w:r>
          </w:p>
        </w:tc>
      </w:tr>
    </w:tbl>
    <w:p>
      <w:pPr>
        <w:spacing w:after="80"/>
      </w:pPr>
    </w:p>
    <w:p>
      <w:pPr>
        <w:pStyle w:val="ListBullet"/>
        <w:spacing w:after="80" w:line="280" w:lineRule="auto"/>
        <w:ind w:left="720" w:hanging="360"/>
      </w:pPr>
      <w:r>
        <w:rPr>
          <w:rFonts w:ascii="Calibri" w:hAnsi="Calibri"/>
          <w:b w:val="0"/>
          <w:i w:val="0"/>
          <w:color w:val="141C26"/>
          <w:sz w:val="21"/>
        </w:rPr>
        <w:t>Late-stage move: the stock had already run about 152% before the scan batch was activated.</w:t>
      </w:r>
    </w:p>
    <w:p>
      <w:pPr>
        <w:pStyle w:val="ListBullet"/>
        <w:spacing w:after="80" w:line="280" w:lineRule="auto"/>
        <w:ind w:left="720" w:hanging="360"/>
      </w:pPr>
      <w:r>
        <w:rPr>
          <w:rFonts w:ascii="Calibri" w:hAnsi="Calibri"/>
          <w:b w:val="0"/>
          <w:i w:val="0"/>
          <w:color w:val="141C26"/>
          <w:sz w:val="21"/>
        </w:rPr>
        <w:t>No proper consolidation base: a valid swing breakout needs a controlled pause, not a vertical spike.</w:t>
      </w:r>
    </w:p>
    <w:p>
      <w:pPr>
        <w:pStyle w:val="ListBullet"/>
        <w:spacing w:after="80" w:line="280" w:lineRule="auto"/>
        <w:ind w:left="720" w:hanging="360"/>
      </w:pPr>
      <w:r>
        <w:rPr>
          <w:rFonts w:ascii="Calibri" w:hAnsi="Calibri"/>
          <w:b w:val="0"/>
          <w:i w:val="0"/>
          <w:color w:val="141C26"/>
          <w:sz w:val="21"/>
        </w:rPr>
        <w:t>Volume confirmation was weak on the shorter timeframe, so the move looked more like exhaustion than accumulation.</w:t>
      </w:r>
    </w:p>
    <w:p>
      <w:pPr>
        <w:pStyle w:val="ListBullet"/>
        <w:spacing w:after="80" w:line="280" w:lineRule="auto"/>
        <w:ind w:left="720" w:hanging="360"/>
      </w:pPr>
      <w:r>
        <w:rPr>
          <w:rFonts w:ascii="Calibri" w:hAnsi="Calibri"/>
          <w:b w:val="0"/>
          <w:i w:val="0"/>
          <w:color w:val="141C26"/>
          <w:sz w:val="21"/>
        </w:rPr>
        <w:t>The SL was wide enough to damage P&amp;L while the target required another large extension.</w:t>
      </w:r>
    </w:p>
    <w:p>
      <w:pPr>
        <w:keepNext/>
        <w:jc w:val="center"/>
      </w:pPr>
      <w:r>
        <w:drawing>
          <wp:inline xmlns:a="http://schemas.openxmlformats.org/drawingml/2006/main" xmlns:pic="http://schemas.openxmlformats.org/drawingml/2006/picture">
            <wp:extent cx="5166360" cy="6149011"/>
            <wp:docPr id="2" name="Picture 2"/>
            <wp:cNvGraphicFramePr>
              <a:graphicFrameLocks noChangeAspect="1"/>
            </wp:cNvGraphicFramePr>
            <a:graphic>
              <a:graphicData uri="http://schemas.openxmlformats.org/drawingml/2006/picture">
                <pic:pic>
                  <pic:nvPicPr>
                    <pic:cNvPr id="0" name="codex-clipboard-20857e72-1546-4bf6-a29e-00b12d0c4fc1.png"/>
                    <pic:cNvPicPr/>
                  </pic:nvPicPr>
                  <pic:blipFill>
                    <a:blip r:embed="rId12"/>
                    <a:stretch>
                      <a:fillRect/>
                    </a:stretch>
                  </pic:blipFill>
                  <pic:spPr>
                    <a:xfrm>
                      <a:off x="0" y="0"/>
                      <a:ext cx="5166360" cy="6149011"/>
                    </a:xfrm>
                    <a:prstGeom prst="rect"/>
                  </pic:spPr>
                </pic:pic>
              </a:graphicData>
            </a:graphic>
          </wp:inline>
        </w:drawing>
      </w:r>
    </w:p>
    <w:p>
      <w:pPr>
        <w:spacing w:before="0" w:after="160" w:line="240" w:lineRule="auto"/>
        <w:jc w:val="center"/>
      </w:pPr>
      <w:r>
        <w:rPr>
          <w:rFonts w:ascii="Calibri" w:hAnsi="Calibri"/>
          <w:b w:val="0"/>
          <w:i/>
          <w:color w:val="5A6675"/>
          <w:sz w:val="17"/>
        </w:rPr>
        <w:t>Figure 2. VINDHYATEL failure map: recovery, topping/distribution, then breakdown after a late entry.</w:t>
      </w:r>
    </w:p>
    <w:p>
      <w:pPr>
        <w:pStyle w:val="Heading1"/>
      </w:pPr>
      <w:r>
        <w:t>Trade 2: DATAPATTNS</w:t>
      </w:r>
    </w:p>
    <w:tbl>
      <w:tblPr>
        <w:tblW w:type="dxa" w:w="9360"/>
        <w:jc w:val="left"/>
        <w:tblLook w:firstColumn="1" w:firstRow="1" w:lastColumn="0" w:lastRow="0" w:noHBand="0" w:noVBand="1" w:val="04A0"/>
        <w:tblInd w:w="120" w:type="dxa"/>
        <w:tblLayout w:type="fixed"/>
      </w:tblPr>
      <w:tblGrid>
        <w:gridCol w:w="9360"/>
      </w:tblGrid>
      <w:tr>
        <w:tc>
          <w:tcPr>
            <w:tcW w:type="dxa" w:w="9360"/>
            <w:tcMar>
              <w:top w:w="120" w:type="dxa"/>
              <w:start w:w="120" w:type="dxa"/>
              <w:bottom w:w="120" w:type="dxa"/>
              <w:end w:w="120" w:type="dxa"/>
            </w:tcMar>
            <w:tcBorders>
              <w:top w:val="single" w:sz="4" w:space="0" w:color="B8C4D2"/>
              <w:left w:val="single" w:sz="4" w:space="0" w:color="B8C4D2"/>
              <w:bottom w:val="single" w:sz="4" w:space="0" w:color="B8C4D2"/>
              <w:right w:val="single" w:sz="4" w:space="0" w:color="B8C4D2"/>
              <w:insideH w:val="single" w:sz="4" w:space="0" w:color="B8C4D2"/>
              <w:insideV w:val="single" w:sz="4" w:space="0" w:color="B8C4D2"/>
            </w:tcBorders>
            <w:vAlign w:val="center"/>
            <w:shd w:fill="FDEAEA"/>
          </w:tcPr>
          <w:p>
            <w:pPr>
              <w:spacing w:before="0" w:after="60" w:line="264" w:lineRule="auto"/>
            </w:pPr>
            <w:r/>
            <w:r>
              <w:rPr>
                <w:rFonts w:ascii="Calibri" w:hAnsi="Calibri"/>
                <w:b/>
                <w:i w:val="0"/>
                <w:color w:val="9B1C1C"/>
                <w:sz w:val="19"/>
              </w:rPr>
              <w:t>VERDICT</w:t>
            </w:r>
          </w:p>
          <w:p>
            <w:pPr>
              <w:spacing w:before="0" w:after="0" w:line="264" w:lineRule="auto"/>
            </w:pPr>
            <w:r>
              <w:rPr>
                <w:rFonts w:ascii="Calibri" w:hAnsi="Calibri"/>
                <w:b w:val="0"/>
                <w:i w:val="0"/>
                <w:color w:val="141C26"/>
                <w:sz w:val="20"/>
              </w:rPr>
              <w:t>DATAPATTNS was not a clean entry on 24 Jun. The daily trend was strong, but the 15-minute structure had already shifted into lower highs and lower lows from 22 Jun onward.</w:t>
            </w:r>
          </w:p>
        </w:tc>
      </w:tr>
    </w:tbl>
    <w:p>
      <w:pPr>
        <w:spacing w:after="40"/>
      </w:pPr>
    </w:p>
    <w:tbl>
      <w:tblPr>
        <w:tblStyle w:val="TableGrid"/>
        <w:tblW w:type="dxa" w:w="9360"/>
        <w:jc w:val="left"/>
        <w:tblLook w:firstColumn="1" w:firstRow="1" w:lastColumn="0" w:lastRow="0" w:noHBand="0" w:noVBand="1" w:val="04A0"/>
        <w:tblInd w:w="120" w:type="dxa"/>
        <w:tblLayout w:type="fixed"/>
      </w:tblPr>
      <w:tblGrid>
        <w:gridCol w:w="1800"/>
        <w:gridCol w:w="1800"/>
        <w:gridCol w:w="5760"/>
      </w:tblGrid>
      <w:tr>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Field</w:t>
            </w:r>
          </w:p>
        </w:tc>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Value</w:t>
            </w:r>
          </w:p>
        </w:tc>
        <w:tc>
          <w:tcPr>
            <w:tcW w:type="dxa" w:w="576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Interpretation</w:t>
            </w:r>
          </w:p>
        </w:tc>
      </w:tr>
      <w:tr>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Entry</w:t>
            </w:r>
          </w:p>
        </w:tc>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4702.40</w:t>
            </w:r>
          </w:p>
        </w:tc>
        <w:tc>
          <w:tcPr>
            <w:tcW w:type="dxa" w:w="576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Entry was roughly 4% below the recent peak but after structure had already turned down.</w:t>
            </w:r>
          </w:p>
        </w:tc>
      </w:tr>
      <w:tr>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SL</w:t>
            </w:r>
          </w:p>
        </w:tc>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4343.31</w:t>
            </w:r>
          </w:p>
        </w:tc>
        <w:tc>
          <w:tcPr>
            <w:tcW w:type="dxa" w:w="576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Remaining cushion was about 3.6% from the reviewed CMP.</w:t>
            </w:r>
          </w:p>
        </w:tc>
      </w:tr>
      <w:tr>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Target</w:t>
            </w:r>
          </w:p>
        </w:tc>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5642.88</w:t>
            </w:r>
          </w:p>
        </w:tc>
        <w:tc>
          <w:tcPr>
            <w:tcW w:type="dxa" w:w="576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Target required a strong continuation that the 15-minute chart no longer supported.</w:t>
            </w:r>
          </w:p>
        </w:tc>
      </w:tr>
      <w:tr>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RS55</w:t>
            </w:r>
          </w:p>
        </w:tc>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47.71</w:t>
            </w:r>
          </w:p>
        </w:tc>
        <w:tc>
          <w:tcPr>
            <w:tcW w:type="dxa" w:w="576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Underperforming more than half the market; not a leadership-grade swing candidate.</w:t>
            </w:r>
          </w:p>
        </w:tc>
      </w:tr>
      <w:tr>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Sector label</w:t>
            </w:r>
          </w:p>
        </w:tc>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Aviation</w:t>
            </w:r>
          </w:p>
        </w:tc>
        <w:tc>
          <w:tcPr>
            <w:tcW w:type="dxa" w:w="576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Potentially wrong context because DATAPATTNS is a defence electronics business.</w:t>
            </w:r>
          </w:p>
        </w:tc>
      </w:tr>
    </w:tbl>
    <w:p>
      <w:pPr>
        <w:spacing w:after="80"/>
      </w:pPr>
    </w:p>
    <w:p>
      <w:pPr>
        <w:pStyle w:val="ListBullet"/>
        <w:spacing w:after="80" w:line="280" w:lineRule="auto"/>
        <w:ind w:left="720" w:hanging="360"/>
      </w:pPr>
      <w:r>
        <w:rPr>
          <w:rFonts w:ascii="Calibri" w:hAnsi="Calibri"/>
          <w:b w:val="0"/>
          <w:i w:val="0"/>
          <w:color w:val="141C26"/>
          <w:sz w:val="21"/>
        </w:rPr>
        <w:t>The trade entered two sessions after the top instead of during a fresh expansion from a base.</w:t>
      </w:r>
    </w:p>
    <w:p>
      <w:pPr>
        <w:pStyle w:val="ListBullet"/>
        <w:spacing w:after="80" w:line="280" w:lineRule="auto"/>
        <w:ind w:left="720" w:hanging="360"/>
      </w:pPr>
      <w:r>
        <w:rPr>
          <w:rFonts w:ascii="Calibri" w:hAnsi="Calibri"/>
          <w:b w:val="0"/>
          <w:i w:val="0"/>
          <w:color w:val="141C26"/>
          <w:sz w:val="21"/>
        </w:rPr>
        <w:t>The 15-minute chart already showed a confirmed downtrend, so daily trend alone should not have allowed activation.</w:t>
      </w:r>
    </w:p>
    <w:p>
      <w:pPr>
        <w:pStyle w:val="ListBullet"/>
        <w:spacing w:after="80" w:line="280" w:lineRule="auto"/>
        <w:ind w:left="720" w:hanging="360"/>
      </w:pPr>
      <w:r>
        <w:rPr>
          <w:rFonts w:ascii="Calibri" w:hAnsi="Calibri"/>
          <w:b w:val="0"/>
          <w:i w:val="0"/>
          <w:color w:val="141C26"/>
          <w:sz w:val="21"/>
        </w:rPr>
        <w:t>RS55 below 50 should be a hard warning; for swing momentum, the minimum should be 70 and preferably 80+.</w:t>
      </w:r>
    </w:p>
    <w:p>
      <w:pPr>
        <w:pStyle w:val="ListBullet"/>
        <w:spacing w:after="80" w:line="280" w:lineRule="auto"/>
        <w:ind w:left="720" w:hanging="360"/>
      </w:pPr>
      <w:r>
        <w:rPr>
          <w:rFonts w:ascii="Calibri" w:hAnsi="Calibri"/>
          <w:b w:val="0"/>
          <w:i w:val="0"/>
          <w:color w:val="141C26"/>
          <w:sz w:val="21"/>
        </w:rPr>
        <w:t>The sector tag mismatch can feed the wrong sector-breadth and industry-strength assumptions into scoring.</w:t>
      </w:r>
    </w:p>
    <w:p>
      <w:pPr>
        <w:keepNext/>
        <w:jc w:val="center"/>
      </w:pPr>
      <w:r>
        <w:drawing>
          <wp:inline xmlns:a="http://schemas.openxmlformats.org/drawingml/2006/main" xmlns:pic="http://schemas.openxmlformats.org/drawingml/2006/picture">
            <wp:extent cx="5029200" cy="5768362"/>
            <wp:docPr id="3" name="Picture 3"/>
            <wp:cNvGraphicFramePr>
              <a:graphicFrameLocks noChangeAspect="1"/>
            </wp:cNvGraphicFramePr>
            <a:graphic>
              <a:graphicData uri="http://schemas.openxmlformats.org/drawingml/2006/picture">
                <pic:pic>
                  <pic:nvPicPr>
                    <pic:cNvPr id="0" name="codex-clipboard-67bb5244-8566-4b1a-9724-24fc2a7a5c85.png"/>
                    <pic:cNvPicPr/>
                  </pic:nvPicPr>
                  <pic:blipFill>
                    <a:blip r:embed="rId13"/>
                    <a:stretch>
                      <a:fillRect/>
                    </a:stretch>
                  </pic:blipFill>
                  <pic:spPr>
                    <a:xfrm>
                      <a:off x="0" y="0"/>
                      <a:ext cx="5029200" cy="5768362"/>
                    </a:xfrm>
                    <a:prstGeom prst="rect"/>
                  </pic:spPr>
                </pic:pic>
              </a:graphicData>
            </a:graphic>
          </wp:inline>
        </w:drawing>
      </w:r>
    </w:p>
    <w:p>
      <w:pPr>
        <w:spacing w:before="0" w:after="160" w:line="240" w:lineRule="auto"/>
        <w:jc w:val="center"/>
      </w:pPr>
      <w:r>
        <w:rPr>
          <w:rFonts w:ascii="Calibri" w:hAnsi="Calibri"/>
          <w:b w:val="0"/>
          <w:i/>
          <w:color w:val="5A6675"/>
          <w:sz w:val="17"/>
        </w:rPr>
        <w:t>Figure 3. DATAPATTNS entry came after the peak, with intraday structure already deteriorating.</w:t>
      </w:r>
    </w:p>
    <w:p>
      <w:pPr>
        <w:pStyle w:val="Heading1"/>
      </w:pPr>
      <w:r>
        <w:t>Trade 3: FINCABLES</w:t>
      </w:r>
    </w:p>
    <w:tbl>
      <w:tblPr>
        <w:tblW w:type="dxa" w:w="9360"/>
        <w:jc w:val="left"/>
        <w:tblLook w:firstColumn="1" w:firstRow="1" w:lastColumn="0" w:lastRow="0" w:noHBand="0" w:noVBand="1" w:val="04A0"/>
        <w:tblInd w:w="120" w:type="dxa"/>
        <w:tblLayout w:type="fixed"/>
      </w:tblPr>
      <w:tblGrid>
        <w:gridCol w:w="9360"/>
      </w:tblGrid>
      <w:tr>
        <w:tc>
          <w:tcPr>
            <w:tcW w:type="dxa" w:w="9360"/>
            <w:tcMar>
              <w:top w:w="120" w:type="dxa"/>
              <w:start w:w="120" w:type="dxa"/>
              <w:bottom w:w="120" w:type="dxa"/>
              <w:end w:w="120" w:type="dxa"/>
            </w:tcMar>
            <w:tcBorders>
              <w:top w:val="single" w:sz="4" w:space="0" w:color="B8C4D2"/>
              <w:left w:val="single" w:sz="4" w:space="0" w:color="B8C4D2"/>
              <w:bottom w:val="single" w:sz="4" w:space="0" w:color="B8C4D2"/>
              <w:right w:val="single" w:sz="4" w:space="0" w:color="B8C4D2"/>
              <w:insideH w:val="single" w:sz="4" w:space="0" w:color="B8C4D2"/>
              <w:insideV w:val="single" w:sz="4" w:space="0" w:color="B8C4D2"/>
            </w:tcBorders>
            <w:vAlign w:val="center"/>
            <w:shd w:fill="FDEAEA"/>
          </w:tcPr>
          <w:p>
            <w:pPr>
              <w:spacing w:before="0" w:after="60" w:line="264" w:lineRule="auto"/>
            </w:pPr>
            <w:r/>
            <w:r>
              <w:rPr>
                <w:rFonts w:ascii="Calibri" w:hAnsi="Calibri"/>
                <w:b/>
                <w:i w:val="0"/>
                <w:color w:val="9B1C1C"/>
                <w:sz w:val="19"/>
              </w:rPr>
              <w:t>VERDICT</w:t>
            </w:r>
          </w:p>
          <w:p>
            <w:pPr>
              <w:spacing w:before="0" w:after="0" w:line="264" w:lineRule="auto"/>
            </w:pPr>
            <w:r>
              <w:rPr>
                <w:rFonts w:ascii="Calibri" w:hAnsi="Calibri"/>
                <w:b w:val="0"/>
                <w:i w:val="0"/>
                <w:color w:val="141C26"/>
                <w:sz w:val="20"/>
              </w:rPr>
              <w:t>FINCABLES was the weakest quality setup. RS55 at 39.11 and RVOL at 0.75x should have been hard vetoes. A stock cannot be treated as a sector leader when 61% of the market is outperforming it.</w:t>
            </w:r>
          </w:p>
        </w:tc>
      </w:tr>
    </w:tbl>
    <w:p>
      <w:pPr>
        <w:spacing w:after="40"/>
      </w:pPr>
    </w:p>
    <w:tbl>
      <w:tblPr>
        <w:tblStyle w:val="TableGrid"/>
        <w:tblW w:type="dxa" w:w="9360"/>
        <w:jc w:val="left"/>
        <w:tblLook w:firstColumn="1" w:firstRow="1" w:lastColumn="0" w:lastRow="0" w:noHBand="0" w:noVBand="1" w:val="04A0"/>
        <w:tblInd w:w="120" w:type="dxa"/>
        <w:tblLayout w:type="fixed"/>
      </w:tblPr>
      <w:tblGrid>
        <w:gridCol w:w="1800"/>
        <w:gridCol w:w="1800"/>
        <w:gridCol w:w="5760"/>
      </w:tblGrid>
      <w:tr>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Field</w:t>
            </w:r>
          </w:p>
        </w:tc>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Value</w:t>
            </w:r>
          </w:p>
        </w:tc>
        <w:tc>
          <w:tcPr>
            <w:tcW w:type="dxa" w:w="576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Interpretation</w:t>
            </w:r>
          </w:p>
        </w:tc>
      </w:tr>
      <w:tr>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Entry</w:t>
            </w:r>
          </w:p>
        </w:tc>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1138.41</w:t>
            </w:r>
          </w:p>
        </w:tc>
        <w:tc>
          <w:tcPr>
            <w:tcW w:type="dxa" w:w="576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Entry occurred after the peak zone near 1190+ had already failed.</w:t>
            </w:r>
          </w:p>
        </w:tc>
      </w:tr>
      <w:tr>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SL</w:t>
            </w:r>
          </w:p>
        </w:tc>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1060.74</w:t>
            </w:r>
          </w:p>
        </w:tc>
        <w:tc>
          <w:tcPr>
            <w:tcW w:type="dxa" w:w="576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About 5% cushion remained at review, but the underlying signal quality was weak.</w:t>
            </w:r>
          </w:p>
        </w:tc>
      </w:tr>
      <w:tr>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Target</w:t>
            </w:r>
          </w:p>
        </w:tc>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1366.09</w:t>
            </w:r>
          </w:p>
        </w:tc>
        <w:tc>
          <w:tcPr>
            <w:tcW w:type="dxa" w:w="576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Target was too ambitious relative to weak volume and market context.</w:t>
            </w:r>
          </w:p>
        </w:tc>
      </w:tr>
      <w:tr>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RS55</w:t>
            </w:r>
          </w:p>
        </w:tc>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39.11</w:t>
            </w:r>
          </w:p>
        </w:tc>
        <w:tc>
          <w:tcPr>
            <w:tcW w:type="dxa" w:w="576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Bottom-third relative strength; not leadership.</w:t>
            </w:r>
          </w:p>
        </w:tc>
      </w:tr>
      <w:tr>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RVOL</w:t>
            </w:r>
          </w:p>
        </w:tc>
        <w:tc>
          <w:tcPr>
            <w:tcW w:type="dxa" w:w="18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0.75x</w:t>
            </w:r>
          </w:p>
        </w:tc>
        <w:tc>
          <w:tcPr>
            <w:tcW w:type="dxa" w:w="576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Below-average volume means no strong institutional sponsorship.</w:t>
            </w:r>
          </w:p>
        </w:tc>
      </w:tr>
    </w:tbl>
    <w:p>
      <w:pPr>
        <w:spacing w:after="80"/>
      </w:pPr>
    </w:p>
    <w:p>
      <w:pPr>
        <w:pStyle w:val="ListBullet"/>
        <w:spacing w:after="80" w:line="280" w:lineRule="auto"/>
        <w:ind w:left="720" w:hanging="360"/>
      </w:pPr>
      <w:r>
        <w:rPr>
          <w:rFonts w:ascii="Calibri" w:hAnsi="Calibri"/>
          <w:b w:val="0"/>
          <w:i w:val="0"/>
          <w:color w:val="141C26"/>
          <w:sz w:val="21"/>
        </w:rPr>
        <w:t>The setup label said 'Sector Leader', but the RS55 and RVOL data contradicted that label.</w:t>
      </w:r>
    </w:p>
    <w:p>
      <w:pPr>
        <w:pStyle w:val="ListBullet"/>
        <w:spacing w:after="80" w:line="280" w:lineRule="auto"/>
        <w:ind w:left="720" w:hanging="360"/>
      </w:pPr>
      <w:r>
        <w:rPr>
          <w:rFonts w:ascii="Calibri" w:hAnsi="Calibri"/>
          <w:b w:val="0"/>
          <w:i w:val="0"/>
          <w:color w:val="141C26"/>
          <w:sz w:val="21"/>
        </w:rPr>
        <w:t>The 15-minute chart had already shifted lower before entry; this was not fresh demand.</w:t>
      </w:r>
    </w:p>
    <w:p>
      <w:pPr>
        <w:pStyle w:val="ListBullet"/>
        <w:spacing w:after="80" w:line="280" w:lineRule="auto"/>
        <w:ind w:left="720" w:hanging="360"/>
      </w:pPr>
      <w:r>
        <w:rPr>
          <w:rFonts w:ascii="Calibri" w:hAnsi="Calibri"/>
          <w:b w:val="0"/>
          <w:i w:val="0"/>
          <w:color w:val="141C26"/>
          <w:sz w:val="21"/>
        </w:rPr>
        <w:t>Best R:R on paper did not compensate for poor entry timing and weak participation.</w:t>
      </w:r>
    </w:p>
    <w:p>
      <w:pPr>
        <w:keepNext/>
        <w:jc w:val="center"/>
      </w:pPr>
      <w:r>
        <w:drawing>
          <wp:inline xmlns:a="http://schemas.openxmlformats.org/drawingml/2006/main" xmlns:pic="http://schemas.openxmlformats.org/drawingml/2006/picture">
            <wp:extent cx="5394960" cy="2507749"/>
            <wp:docPr id="4" name="Picture 4"/>
            <wp:cNvGraphicFramePr>
              <a:graphicFrameLocks noChangeAspect="1"/>
            </wp:cNvGraphicFramePr>
            <a:graphic>
              <a:graphicData uri="http://schemas.openxmlformats.org/drawingml/2006/picture">
                <pic:pic>
                  <pic:nvPicPr>
                    <pic:cNvPr id="0" name="codex-clipboard-fd1135b1-d2b0-4de3-8fa5-0a069d9ce88a.png"/>
                    <pic:cNvPicPr/>
                  </pic:nvPicPr>
                  <pic:blipFill>
                    <a:blip r:embed="rId14"/>
                    <a:stretch>
                      <a:fillRect/>
                    </a:stretch>
                  </pic:blipFill>
                  <pic:spPr>
                    <a:xfrm>
                      <a:off x="0" y="0"/>
                      <a:ext cx="5394960" cy="2507749"/>
                    </a:xfrm>
                    <a:prstGeom prst="rect"/>
                  </pic:spPr>
                </pic:pic>
              </a:graphicData>
            </a:graphic>
          </wp:inline>
        </w:drawing>
      </w:r>
    </w:p>
    <w:p>
      <w:pPr>
        <w:spacing w:before="0" w:after="160" w:line="240" w:lineRule="auto"/>
        <w:jc w:val="center"/>
      </w:pPr>
      <w:r>
        <w:rPr>
          <w:rFonts w:ascii="Calibri" w:hAnsi="Calibri"/>
          <w:b w:val="0"/>
          <w:i/>
          <w:color w:val="5A6675"/>
          <w:sz w:val="17"/>
        </w:rPr>
        <w:t>Figure 4. FINCABLES had weak participation and entered after topping behavior had started.</w:t>
      </w:r>
    </w:p>
    <w:p>
      <w:pPr>
        <w:pStyle w:val="Heading1"/>
      </w:pPr>
      <w:r>
        <w:t>Root Cause Analysis</w:t>
      </w:r>
    </w:p>
    <w:p>
      <w:pPr>
        <w:pStyle w:val="ListNumber"/>
        <w:spacing w:after="100" w:line="280" w:lineRule="auto"/>
        <w:ind w:left="720" w:hanging="360"/>
      </w:pPr>
      <w:r>
        <w:rPr>
          <w:rFonts w:ascii="Calibri" w:hAnsi="Calibri"/>
          <w:b w:val="0"/>
          <w:i w:val="0"/>
          <w:color w:val="141C26"/>
          <w:sz w:val="21"/>
        </w:rPr>
        <w:t>The scanner over-weighted daily trend strength and under-weighted timing. Stage 2 trend is necessary, but it is not sufficient.</w:t>
      </w:r>
    </w:p>
    <w:p>
      <w:pPr>
        <w:pStyle w:val="ListNumber"/>
        <w:spacing w:after="100" w:line="280" w:lineRule="auto"/>
        <w:ind w:left="720" w:hanging="360"/>
      </w:pPr>
      <w:r>
        <w:rPr>
          <w:rFonts w:ascii="Calibri" w:hAnsi="Calibri"/>
          <w:b w:val="0"/>
          <w:i w:val="0"/>
          <w:color w:val="141C26"/>
          <w:sz w:val="21"/>
        </w:rPr>
        <w:t>The system did not reject broad-market weakness. Nifty ADX at 18.73 meant no strong directional market support.</w:t>
      </w:r>
    </w:p>
    <w:p>
      <w:pPr>
        <w:pStyle w:val="ListNumber"/>
        <w:spacing w:after="100" w:line="280" w:lineRule="auto"/>
        <w:ind w:left="720" w:hanging="360"/>
      </w:pPr>
      <w:r>
        <w:rPr>
          <w:rFonts w:ascii="Calibri" w:hAnsi="Calibri"/>
          <w:b w:val="0"/>
          <w:i w:val="0"/>
          <w:color w:val="141C26"/>
          <w:sz w:val="21"/>
        </w:rPr>
        <w:t>The scanner allowed weak relative strength. DATAPATTNS and FINCABLES both had RS55 below 50.</w:t>
      </w:r>
    </w:p>
    <w:p>
      <w:pPr>
        <w:pStyle w:val="ListNumber"/>
        <w:spacing w:after="100" w:line="280" w:lineRule="auto"/>
        <w:ind w:left="720" w:hanging="360"/>
      </w:pPr>
      <w:r>
        <w:rPr>
          <w:rFonts w:ascii="Calibri" w:hAnsi="Calibri"/>
          <w:b w:val="0"/>
          <w:i w:val="0"/>
          <w:color w:val="141C26"/>
          <w:sz w:val="21"/>
        </w:rPr>
        <w:t>Volume sponsorship was not enforced. FINCABLES had RVOL 0.75x and the others were only marginal.</w:t>
      </w:r>
    </w:p>
    <w:p>
      <w:pPr>
        <w:pStyle w:val="ListNumber"/>
        <w:spacing w:after="100" w:line="280" w:lineRule="auto"/>
        <w:ind w:left="720" w:hanging="360"/>
      </w:pPr>
      <w:r>
        <w:rPr>
          <w:rFonts w:ascii="Calibri" w:hAnsi="Calibri"/>
          <w:b w:val="0"/>
          <w:i w:val="0"/>
          <w:color w:val="141C26"/>
          <w:sz w:val="21"/>
        </w:rPr>
        <w:t>The tracker did not require 15-minute confirmation before activation, so daily setups entered after intraday breakdowns.</w:t>
      </w:r>
    </w:p>
    <w:p>
      <w:pPr>
        <w:pStyle w:val="Heading1"/>
      </w:pPr>
      <w:r>
        <w:t>Pre-Entry Filter Gate</w:t>
      </w:r>
    </w:p>
    <w:tbl>
      <w:tblPr>
        <w:tblW w:type="dxa" w:w="9360"/>
        <w:jc w:val="left"/>
        <w:tblLook w:firstColumn="1" w:firstRow="1" w:lastColumn="0" w:lastRow="0" w:noHBand="0" w:noVBand="1" w:val="04A0"/>
        <w:tblInd w:w="120" w:type="dxa"/>
        <w:tblLayout w:type="fixed"/>
      </w:tblPr>
      <w:tblGrid>
        <w:gridCol w:w="9360"/>
      </w:tblGrid>
      <w:tr>
        <w:tc>
          <w:tcPr>
            <w:tcW w:type="dxa" w:w="9360"/>
            <w:tcMar>
              <w:top w:w="120" w:type="dxa"/>
              <w:start w:w="120" w:type="dxa"/>
              <w:bottom w:w="120" w:type="dxa"/>
              <w:end w:w="120" w:type="dxa"/>
            </w:tcMar>
            <w:tcBorders>
              <w:top w:val="single" w:sz="4" w:space="0" w:color="B8C4D2"/>
              <w:left w:val="single" w:sz="4" w:space="0" w:color="B8C4D2"/>
              <w:bottom w:val="single" w:sz="4" w:space="0" w:color="B8C4D2"/>
              <w:right w:val="single" w:sz="4" w:space="0" w:color="B8C4D2"/>
              <w:insideH w:val="single" w:sz="4" w:space="0" w:color="B8C4D2"/>
              <w:insideV w:val="single" w:sz="4" w:space="0" w:color="B8C4D2"/>
            </w:tcBorders>
            <w:vAlign w:val="center"/>
            <w:shd w:fill="E9F7EF"/>
          </w:tcPr>
          <w:p>
            <w:pPr>
              <w:spacing w:before="0" w:after="60" w:line="264" w:lineRule="auto"/>
            </w:pPr>
            <w:r/>
            <w:r>
              <w:rPr>
                <w:rFonts w:ascii="Calibri" w:hAnsi="Calibri"/>
                <w:b/>
                <w:i w:val="0"/>
                <w:color w:val="007A55"/>
                <w:sz w:val="19"/>
              </w:rPr>
              <w:t>POLICY</w:t>
            </w:r>
          </w:p>
          <w:p>
            <w:pPr>
              <w:spacing w:before="0" w:after="0" w:line="264" w:lineRule="auto"/>
            </w:pPr>
            <w:r>
              <w:rPr>
                <w:rFonts w:ascii="Calibri" w:hAnsi="Calibri"/>
                <w:b w:val="0"/>
                <w:i w:val="0"/>
                <w:color w:val="141C26"/>
                <w:sz w:val="20"/>
              </w:rPr>
              <w:t>A swing candidate should not be saved as actionable unless every gate passes. One failed gate means watch only or reject.</w:t>
            </w:r>
          </w:p>
        </w:tc>
      </w:tr>
    </w:tbl>
    <w:p>
      <w:pPr>
        <w:spacing w:after="40"/>
      </w:pPr>
    </w:p>
    <w:tbl>
      <w:tblPr>
        <w:tblStyle w:val="TableGrid"/>
        <w:tblW w:type="dxa" w:w="9359"/>
        <w:jc w:val="left"/>
        <w:tblLook w:firstColumn="1" w:firstRow="1" w:lastColumn="0" w:lastRow="0" w:noHBand="0" w:noVBand="1" w:val="04A0"/>
        <w:tblInd w:w="120" w:type="dxa"/>
        <w:tblLayout w:type="fixed"/>
      </w:tblPr>
      <w:tblGrid>
        <w:gridCol w:w="2088"/>
        <w:gridCol w:w="2951"/>
        <w:gridCol w:w="4320"/>
      </w:tblGrid>
      <w:tr>
        <w:tc>
          <w:tcPr>
            <w:tcW w:type="dxa" w:w="2088"/>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Gate</w:t>
            </w:r>
          </w:p>
        </w:tc>
        <w:tc>
          <w:tcPr>
            <w:tcW w:type="dxa" w:w="2951"/>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Minimum Rule</w:t>
            </w:r>
          </w:p>
        </w:tc>
        <w:tc>
          <w:tcPr>
            <w:tcW w:type="dxa" w:w="432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Reason</w:t>
            </w:r>
          </w:p>
        </w:tc>
      </w:tr>
      <w:tr>
        <w:tc>
          <w:tcPr>
            <w:tcW w:type="dxa" w:w="2088"/>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Market regime</w:t>
            </w:r>
          </w:p>
        </w:tc>
        <w:tc>
          <w:tcPr>
            <w:tcW w:type="dxa" w:w="2951"/>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Nifty or BankNifty ADX &gt;= 25 and trend not bearish</w:t>
            </w:r>
          </w:p>
        </w:tc>
        <w:tc>
          <w:tcPr>
            <w:tcW w:type="dxa" w:w="432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Avoid launching long swings into a directionless or topping market.</w:t>
            </w:r>
          </w:p>
        </w:tc>
      </w:tr>
      <w:tr>
        <w:tc>
          <w:tcPr>
            <w:tcW w:type="dxa" w:w="2088"/>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Relative strength</w:t>
            </w:r>
          </w:p>
        </w:tc>
        <w:tc>
          <w:tcPr>
            <w:tcW w:type="dxa" w:w="2951"/>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RS55 &gt;= 70</w:t>
            </w:r>
          </w:p>
        </w:tc>
        <w:tc>
          <w:tcPr>
            <w:tcW w:type="dxa" w:w="432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Only trade stocks outperforming most of the universe.</w:t>
            </w:r>
          </w:p>
        </w:tc>
      </w:tr>
      <w:tr>
        <w:tc>
          <w:tcPr>
            <w:tcW w:type="dxa" w:w="2088"/>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Volume sponsorship</w:t>
            </w:r>
          </w:p>
        </w:tc>
        <w:tc>
          <w:tcPr>
            <w:tcW w:type="dxa" w:w="2951"/>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RVOL &gt;= 1.5x on breakout/trigger</w:t>
            </w:r>
          </w:p>
        </w:tc>
        <w:tc>
          <w:tcPr>
            <w:tcW w:type="dxa" w:w="432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Confirm institutional participation instead of thin breakouts.</w:t>
            </w:r>
          </w:p>
        </w:tc>
      </w:tr>
      <w:tr>
        <w:tc>
          <w:tcPr>
            <w:tcW w:type="dxa" w:w="2088"/>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15-minute structure</w:t>
            </w:r>
          </w:p>
        </w:tc>
        <w:tc>
          <w:tcPr>
            <w:tcW w:type="dxa" w:w="2951"/>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Higher highs and higher lows before activation</w:t>
            </w:r>
          </w:p>
        </w:tc>
        <w:tc>
          <w:tcPr>
            <w:tcW w:type="dxa" w:w="432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Avoid entries after intraday structure is already broken.</w:t>
            </w:r>
          </w:p>
        </w:tc>
      </w:tr>
      <w:tr>
        <w:tc>
          <w:tcPr>
            <w:tcW w:type="dxa" w:w="2088"/>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Extended-move guard</w:t>
            </w:r>
          </w:p>
        </w:tc>
        <w:tc>
          <w:tcPr>
            <w:tcW w:type="dxa" w:w="2951"/>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Reject if 20d/40d run is excessive without a tight base</w:t>
            </w:r>
          </w:p>
        </w:tc>
        <w:tc>
          <w:tcPr>
            <w:tcW w:type="dxa" w:w="432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Prevent buying after the move has already happened.</w:t>
            </w:r>
          </w:p>
        </w:tc>
      </w:tr>
      <w:tr>
        <w:tc>
          <w:tcPr>
            <w:tcW w:type="dxa" w:w="2088"/>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Risk cap</w:t>
            </w:r>
          </w:p>
        </w:tc>
        <w:tc>
          <w:tcPr>
            <w:tcW w:type="dxa" w:w="2951"/>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Swing risk ideally &lt;= 6%; target 5-10 day realistic range</w:t>
            </w:r>
          </w:p>
        </w:tc>
        <w:tc>
          <w:tcPr>
            <w:tcW w:type="dxa" w:w="432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Prevent wide stops and far-away targets from distorting score.</w:t>
            </w:r>
          </w:p>
        </w:tc>
      </w:tr>
    </w:tbl>
    <w:p>
      <w:pPr>
        <w:spacing w:after="80"/>
      </w:pPr>
    </w:p>
    <w:tbl>
      <w:tblPr>
        <w:tblStyle w:val="TableGrid"/>
        <w:tblW w:type="dxa" w:w="9359"/>
        <w:jc w:val="left"/>
        <w:tblLook w:firstColumn="1" w:firstRow="1" w:lastColumn="0" w:lastRow="0" w:noHBand="0" w:noVBand="1" w:val="04A0"/>
        <w:tblInd w:w="120" w:type="dxa"/>
        <w:tblLayout w:type="fixed"/>
      </w:tblPr>
      <w:tblGrid>
        <w:gridCol w:w="1655"/>
        <w:gridCol w:w="1440"/>
        <w:gridCol w:w="1440"/>
        <w:gridCol w:w="1440"/>
        <w:gridCol w:w="1440"/>
        <w:gridCol w:w="1944"/>
      </w:tblGrid>
      <w:tr>
        <w:tc>
          <w:tcPr>
            <w:tcW w:type="dxa" w:w="1655"/>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Stock</w:t>
            </w:r>
          </w:p>
        </w:tc>
        <w:tc>
          <w:tcPr>
            <w:tcW w:type="dxa" w:w="144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ADX Gate</w:t>
            </w:r>
          </w:p>
        </w:tc>
        <w:tc>
          <w:tcPr>
            <w:tcW w:type="dxa" w:w="144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RS Gate</w:t>
            </w:r>
          </w:p>
        </w:tc>
        <w:tc>
          <w:tcPr>
            <w:tcW w:type="dxa" w:w="144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RVOL Gate</w:t>
            </w:r>
          </w:p>
        </w:tc>
        <w:tc>
          <w:tcPr>
            <w:tcW w:type="dxa" w:w="144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15m Gate</w:t>
            </w:r>
          </w:p>
        </w:tc>
        <w:tc>
          <w:tcPr>
            <w:tcW w:type="dxa" w:w="1944"/>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Final Decision</w:t>
            </w:r>
          </w:p>
        </w:tc>
      </w:tr>
      <w:tr>
        <w:tc>
          <w:tcPr>
            <w:tcW w:type="dxa" w:w="1655"/>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VINDHYATEL</w:t>
            </w:r>
          </w:p>
        </w:tc>
        <w:tc>
          <w:tcPr>
            <w:tcW w:type="dxa" w:w="144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Fail</w:t>
            </w:r>
          </w:p>
        </w:tc>
        <w:tc>
          <w:tcPr>
            <w:tcW w:type="dxa" w:w="144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Pass</w:t>
            </w:r>
          </w:p>
        </w:tc>
        <w:tc>
          <w:tcPr>
            <w:tcW w:type="dxa" w:w="144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Fail</w:t>
            </w:r>
          </w:p>
        </w:tc>
        <w:tc>
          <w:tcPr>
            <w:tcW w:type="dxa" w:w="144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left"/>
            </w:pPr>
            <w:r>
              <w:rPr>
                <w:rFonts w:ascii="Calibri" w:hAnsi="Calibri"/>
                <w:b w:val="0"/>
                <w:color w:val="141C26"/>
                <w:sz w:val="17"/>
              </w:rPr>
              <w:t>Fail</w:t>
            </w:r>
          </w:p>
        </w:tc>
        <w:tc>
          <w:tcPr>
            <w:tcW w:type="dxa" w:w="1944"/>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left"/>
            </w:pPr>
            <w:r>
              <w:rPr>
                <w:rFonts w:ascii="Calibri" w:hAnsi="Calibri"/>
                <w:b w:val="0"/>
                <w:color w:val="141C26"/>
                <w:sz w:val="17"/>
              </w:rPr>
              <w:t>No trade</w:t>
            </w:r>
          </w:p>
        </w:tc>
      </w:tr>
      <w:tr>
        <w:tc>
          <w:tcPr>
            <w:tcW w:type="dxa" w:w="1655"/>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DATAPATTNS</w:t>
            </w:r>
          </w:p>
        </w:tc>
        <w:tc>
          <w:tcPr>
            <w:tcW w:type="dxa" w:w="144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Fail</w:t>
            </w:r>
          </w:p>
        </w:tc>
        <w:tc>
          <w:tcPr>
            <w:tcW w:type="dxa" w:w="144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Fail</w:t>
            </w:r>
          </w:p>
        </w:tc>
        <w:tc>
          <w:tcPr>
            <w:tcW w:type="dxa" w:w="144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Fail</w:t>
            </w:r>
          </w:p>
        </w:tc>
        <w:tc>
          <w:tcPr>
            <w:tcW w:type="dxa" w:w="144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left"/>
            </w:pPr>
            <w:r>
              <w:rPr>
                <w:rFonts w:ascii="Calibri" w:hAnsi="Calibri"/>
                <w:b w:val="0"/>
                <w:color w:val="141C26"/>
                <w:sz w:val="17"/>
              </w:rPr>
              <w:t>Fail</w:t>
            </w:r>
          </w:p>
        </w:tc>
        <w:tc>
          <w:tcPr>
            <w:tcW w:type="dxa" w:w="1944"/>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left"/>
            </w:pPr>
            <w:r>
              <w:rPr>
                <w:rFonts w:ascii="Calibri" w:hAnsi="Calibri"/>
                <w:b w:val="0"/>
                <w:color w:val="141C26"/>
                <w:sz w:val="17"/>
              </w:rPr>
              <w:t>No trade</w:t>
            </w:r>
          </w:p>
        </w:tc>
      </w:tr>
      <w:tr>
        <w:tc>
          <w:tcPr>
            <w:tcW w:type="dxa" w:w="1655"/>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FINCABLES</w:t>
            </w:r>
          </w:p>
        </w:tc>
        <w:tc>
          <w:tcPr>
            <w:tcW w:type="dxa" w:w="144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Fail</w:t>
            </w:r>
          </w:p>
        </w:tc>
        <w:tc>
          <w:tcPr>
            <w:tcW w:type="dxa" w:w="144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Fail</w:t>
            </w:r>
          </w:p>
        </w:tc>
        <w:tc>
          <w:tcPr>
            <w:tcW w:type="dxa" w:w="144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Fail</w:t>
            </w:r>
          </w:p>
        </w:tc>
        <w:tc>
          <w:tcPr>
            <w:tcW w:type="dxa" w:w="144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left"/>
            </w:pPr>
            <w:r>
              <w:rPr>
                <w:rFonts w:ascii="Calibri" w:hAnsi="Calibri"/>
                <w:b w:val="0"/>
                <w:color w:val="141C26"/>
                <w:sz w:val="17"/>
              </w:rPr>
              <w:t>Fail</w:t>
            </w:r>
          </w:p>
        </w:tc>
        <w:tc>
          <w:tcPr>
            <w:tcW w:type="dxa" w:w="1944"/>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left"/>
            </w:pPr>
            <w:r>
              <w:rPr>
                <w:rFonts w:ascii="Calibri" w:hAnsi="Calibri"/>
                <w:b w:val="0"/>
                <w:color w:val="141C26"/>
                <w:sz w:val="17"/>
              </w:rPr>
              <w:t>No trade</w:t>
            </w:r>
          </w:p>
        </w:tc>
      </w:tr>
    </w:tbl>
    <w:p>
      <w:pPr>
        <w:spacing w:after="80"/>
      </w:pPr>
    </w:p>
    <w:p>
      <w:pPr>
        <w:pStyle w:val="Heading1"/>
      </w:pPr>
      <w:r>
        <w:t>Targets and P&amp;L</w:t>
      </w:r>
    </w:p>
    <w:tbl>
      <w:tblPr>
        <w:tblW w:type="dxa" w:w="9360"/>
        <w:jc w:val="left"/>
        <w:tblLook w:firstColumn="1" w:firstRow="1" w:lastColumn="0" w:lastRow="0" w:noHBand="0" w:noVBand="1" w:val="04A0"/>
        <w:tblInd w:w="120" w:type="dxa"/>
        <w:tblLayout w:type="fixed"/>
      </w:tblPr>
      <w:tblGrid>
        <w:gridCol w:w="9360"/>
      </w:tblGrid>
      <w:tr>
        <w:tc>
          <w:tcPr>
            <w:tcW w:type="dxa" w:w="9360"/>
            <w:tcMar>
              <w:top w:w="120" w:type="dxa"/>
              <w:start w:w="120" w:type="dxa"/>
              <w:bottom w:w="120" w:type="dxa"/>
              <w:end w:w="120" w:type="dxa"/>
            </w:tcMar>
            <w:tcBorders>
              <w:top w:val="single" w:sz="4" w:space="0" w:color="B8C4D2"/>
              <w:left w:val="single" w:sz="4" w:space="0" w:color="B8C4D2"/>
              <w:bottom w:val="single" w:sz="4" w:space="0" w:color="B8C4D2"/>
              <w:right w:val="single" w:sz="4" w:space="0" w:color="B8C4D2"/>
              <w:insideH w:val="single" w:sz="4" w:space="0" w:color="B8C4D2"/>
              <w:insideV w:val="single" w:sz="4" w:space="0" w:color="B8C4D2"/>
            </w:tcBorders>
            <w:vAlign w:val="center"/>
            <w:shd w:fill="FFF3CD"/>
          </w:tcPr>
          <w:p>
            <w:pPr>
              <w:spacing w:before="0" w:after="60" w:line="264" w:lineRule="auto"/>
            </w:pPr>
            <w:r/>
            <w:r>
              <w:rPr>
                <w:rFonts w:ascii="Calibri" w:hAnsi="Calibri"/>
                <w:b/>
                <w:i w:val="0"/>
                <w:color w:val="7A5A00"/>
                <w:sz w:val="19"/>
              </w:rPr>
              <w:t>WHY TARGETS LOOKED TOO HIGH</w:t>
            </w:r>
          </w:p>
          <w:p>
            <w:pPr>
              <w:spacing w:before="0" w:after="0" w:line="264" w:lineRule="auto"/>
            </w:pPr>
            <w:r>
              <w:rPr>
                <w:rFonts w:ascii="Calibri" w:hAnsi="Calibri"/>
                <w:b w:val="0"/>
                <w:i w:val="0"/>
                <w:color w:val="141C26"/>
                <w:sz w:val="20"/>
              </w:rPr>
              <w:t>The original swing target model behaved more like a 15-20% continuation objective. That is too far for tactical 5-10 day swing trades, especially after an extended daily run. The target should now be closer to realistic 5-10 day movement and capped by structure, volatility, and recent resistance.</w:t>
            </w:r>
          </w:p>
        </w:tc>
      </w:tr>
    </w:tbl>
    <w:p>
      <w:pPr>
        <w:spacing w:after="40"/>
      </w:pPr>
    </w:p>
    <w:p>
      <w:pPr>
        <w:spacing w:before="0" w:after="120" w:line="264" w:lineRule="auto"/>
      </w:pPr>
      <w:r>
        <w:rPr>
          <w:rFonts w:ascii="Calibri" w:hAnsi="Calibri"/>
          <w:b w:val="0"/>
          <w:i w:val="0"/>
          <w:color w:val="141C26"/>
          <w:sz w:val="22"/>
        </w:rPr>
        <w:t>P&amp;L should be read as the percentage move from the recorded entry to the latest CMP or exit price. For watchlist names where entry has not triggered, P&amp;L should stay blank because no live position exists. If a scan is run at night, the system must not pretend an entry is active unless the trigger is valid on a market candle after the scan and the pre-entry gates are still valid.</w:t>
      </w:r>
    </w:p>
    <w:p>
      <w:pPr>
        <w:pStyle w:val="Heading1"/>
      </w:pPr>
      <w:r>
        <w:t>Open Position Framework</w:t>
      </w:r>
    </w:p>
    <w:tbl>
      <w:tblPr>
        <w:tblW w:type="dxa" w:w="9360"/>
        <w:jc w:val="left"/>
        <w:tblLook w:firstColumn="1" w:firstRow="1" w:lastColumn="0" w:lastRow="0" w:noHBand="0" w:noVBand="1" w:val="04A0"/>
        <w:tblInd w:w="120" w:type="dxa"/>
        <w:tblLayout w:type="fixed"/>
      </w:tblPr>
      <w:tblGrid>
        <w:gridCol w:w="9360"/>
      </w:tblGrid>
      <w:tr>
        <w:tc>
          <w:tcPr>
            <w:tcW w:type="dxa" w:w="9360"/>
            <w:tcMar>
              <w:top w:w="120" w:type="dxa"/>
              <w:start w:w="120" w:type="dxa"/>
              <w:bottom w:w="120" w:type="dxa"/>
              <w:end w:w="120" w:type="dxa"/>
            </w:tcMar>
            <w:tcBorders>
              <w:top w:val="single" w:sz="4" w:space="0" w:color="B8C4D2"/>
              <w:left w:val="single" w:sz="4" w:space="0" w:color="B8C4D2"/>
              <w:bottom w:val="single" w:sz="4" w:space="0" w:color="B8C4D2"/>
              <w:right w:val="single" w:sz="4" w:space="0" w:color="B8C4D2"/>
              <w:insideH w:val="single" w:sz="4" w:space="0" w:color="B8C4D2"/>
              <w:insideV w:val="single" w:sz="4" w:space="0" w:color="B8C4D2"/>
            </w:tcBorders>
            <w:vAlign w:val="center"/>
            <w:shd w:fill="EAF2FB"/>
          </w:tcPr>
          <w:p>
            <w:pPr>
              <w:spacing w:before="0" w:after="60" w:line="264" w:lineRule="auto"/>
            </w:pPr>
            <w:r/>
            <w:r>
              <w:rPr>
                <w:rFonts w:ascii="Calibri" w:hAnsi="Calibri"/>
                <w:b/>
                <w:i w:val="0"/>
                <w:color w:val="1F4D78"/>
                <w:sz w:val="19"/>
              </w:rPr>
              <w:t>RISK NOTE</w:t>
            </w:r>
          </w:p>
          <w:p>
            <w:pPr>
              <w:spacing w:before="0" w:after="0" w:line="264" w:lineRule="auto"/>
            </w:pPr>
            <w:r>
              <w:rPr>
                <w:rFonts w:ascii="Calibri" w:hAnsi="Calibri"/>
                <w:b w:val="0"/>
                <w:i w:val="0"/>
                <w:color w:val="141C26"/>
                <w:sz w:val="20"/>
              </w:rPr>
              <w:t>This section is a process framework, not financial advice. The app should show signal quality and invalidation clearly; the trader still decides position handling.</w:t>
            </w:r>
          </w:p>
        </w:tc>
      </w:tr>
    </w:tbl>
    <w:p>
      <w:pPr>
        <w:spacing w:after="40"/>
      </w:pPr>
    </w:p>
    <w:tbl>
      <w:tblPr>
        <w:tblStyle w:val="TableGrid"/>
        <w:tblW w:type="dxa" w:w="9360"/>
        <w:jc w:val="left"/>
        <w:tblLook w:firstColumn="1" w:firstRow="1" w:lastColumn="0" w:lastRow="0" w:noHBand="0" w:noVBand="1" w:val="04A0"/>
        <w:tblInd w:w="120" w:type="dxa"/>
        <w:tblLayout w:type="fixed"/>
      </w:tblPr>
      <w:tblGrid>
        <w:gridCol w:w="1872"/>
        <w:gridCol w:w="3888"/>
        <w:gridCol w:w="3600"/>
      </w:tblGrid>
      <w:tr>
        <w:tc>
          <w:tcPr>
            <w:tcW w:type="dxa" w:w="1872"/>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Position</w:t>
            </w:r>
          </w:p>
        </w:tc>
        <w:tc>
          <w:tcPr>
            <w:tcW w:type="dxa" w:w="3888"/>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Current Read</w:t>
            </w:r>
          </w:p>
        </w:tc>
        <w:tc>
          <w:tcPr>
            <w:tcW w:type="dxa" w:w="36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Process Choice</w:t>
            </w:r>
          </w:p>
        </w:tc>
      </w:tr>
      <w:tr>
        <w:tc>
          <w:tcPr>
            <w:tcW w:type="dxa" w:w="1872"/>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DATAPATTNS</w:t>
            </w:r>
          </w:p>
        </w:tc>
        <w:tc>
          <w:tcPr>
            <w:tcW w:type="dxa" w:w="3888"/>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Still above SL but selling character has shifted; RS55 is weak and 15m structure broke before entry.</w:t>
            </w:r>
          </w:p>
        </w:tc>
        <w:tc>
          <w:tcPr>
            <w:tcW w:type="dxa" w:w="36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Do not add. Either exit on thesis failure or trail risk tightly instead of waiting for a wide SL.</w:t>
            </w:r>
          </w:p>
        </w:tc>
      </w:tr>
      <w:tr>
        <w:tc>
          <w:tcPr>
            <w:tcW w:type="dxa" w:w="1872"/>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FINCABLES</w:t>
            </w:r>
          </w:p>
        </w:tc>
        <w:tc>
          <w:tcPr>
            <w:tcW w:type="dxa" w:w="3888"/>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Not in freefall, but RS55 and RVOL are weak; the setup lacks sponsorship.</w:t>
            </w:r>
          </w:p>
        </w:tc>
        <w:tc>
          <w:tcPr>
            <w:tcW w:type="dxa" w:w="3600"/>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Do not treat a bounce as renewed strength unless RS/RVOL and 15m structure recover.</w:t>
            </w:r>
          </w:p>
        </w:tc>
      </w:tr>
    </w:tbl>
    <w:p>
      <w:pPr>
        <w:spacing w:after="80"/>
      </w:pPr>
    </w:p>
    <w:p>
      <w:pPr>
        <w:pStyle w:val="Heading1"/>
      </w:pPr>
      <w:r>
        <w:t>Valid Re-Entry Criteria</w:t>
      </w:r>
    </w:p>
    <w:tbl>
      <w:tblPr>
        <w:tblStyle w:val="TableGrid"/>
        <w:tblW w:type="dxa" w:w="9359"/>
        <w:jc w:val="left"/>
        <w:tblLook w:firstColumn="1" w:firstRow="1" w:lastColumn="0" w:lastRow="0" w:noHBand="0" w:noVBand="1" w:val="04A0"/>
        <w:tblInd w:w="120" w:type="dxa"/>
        <w:tblLayout w:type="fixed"/>
      </w:tblPr>
      <w:tblGrid>
        <w:gridCol w:w="2376"/>
        <w:gridCol w:w="6983"/>
      </w:tblGrid>
      <w:tr>
        <w:tc>
          <w:tcPr>
            <w:tcW w:type="dxa" w:w="2376"/>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Requirement</w:t>
            </w:r>
          </w:p>
        </w:tc>
        <w:tc>
          <w:tcPr>
            <w:tcW w:type="dxa" w:w="6983"/>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shd w:fill="F2F4F7"/>
          </w:tcPr>
          <w:p>
            <w:pPr>
              <w:spacing w:before="0" w:after="0" w:line="264" w:lineRule="auto"/>
              <w:jc w:val="center"/>
            </w:pPr>
            <w:r>
              <w:rPr>
                <w:rFonts w:ascii="Calibri" w:hAnsi="Calibri"/>
                <w:b/>
                <w:color w:val="0B2545"/>
                <w:sz w:val="17"/>
              </w:rPr>
              <w:t>What Good Looks Like</w:t>
            </w:r>
          </w:p>
        </w:tc>
      </w:tr>
      <w:tr>
        <w:tc>
          <w:tcPr>
            <w:tcW w:type="dxa" w:w="2376"/>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Base quality</w:t>
            </w:r>
          </w:p>
        </w:tc>
        <w:tc>
          <w:tcPr>
            <w:tcW w:type="dxa" w:w="6983"/>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A tight 2-6 week base or orderly pullback near a clear support area.</w:t>
            </w:r>
          </w:p>
        </w:tc>
      </w:tr>
      <w:tr>
        <w:tc>
          <w:tcPr>
            <w:tcW w:type="dxa" w:w="2376"/>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Market support</w:t>
            </w:r>
          </w:p>
        </w:tc>
        <w:tc>
          <w:tcPr>
            <w:tcW w:type="dxa" w:w="6983"/>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Nifty trend positive with ADX &gt;= 25, or sector-specific breadth clearly strong.</w:t>
            </w:r>
          </w:p>
        </w:tc>
      </w:tr>
      <w:tr>
        <w:tc>
          <w:tcPr>
            <w:tcW w:type="dxa" w:w="2376"/>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Leadership</w:t>
            </w:r>
          </w:p>
        </w:tc>
        <w:tc>
          <w:tcPr>
            <w:tcW w:type="dxa" w:w="6983"/>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RS55 &gt;= 70, preferably 80+, and sector/industry tag verified.</w:t>
            </w:r>
          </w:p>
        </w:tc>
      </w:tr>
      <w:tr>
        <w:tc>
          <w:tcPr>
            <w:tcW w:type="dxa" w:w="2376"/>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Volume</w:t>
            </w:r>
          </w:p>
        </w:tc>
        <w:tc>
          <w:tcPr>
            <w:tcW w:type="dxa" w:w="6983"/>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Breakout or reclaim day on RVOL &gt;= 1.5x; stronger setups show 2x+.</w:t>
            </w:r>
          </w:p>
        </w:tc>
      </w:tr>
      <w:tr>
        <w:tc>
          <w:tcPr>
            <w:tcW w:type="dxa" w:w="2376"/>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15m structure</w:t>
            </w:r>
          </w:p>
        </w:tc>
        <w:tc>
          <w:tcPr>
            <w:tcW w:type="dxa" w:w="6983"/>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Higher highs and higher lows before entry; no lower-high sequence into trigger.</w:t>
            </w:r>
          </w:p>
        </w:tc>
      </w:tr>
      <w:tr>
        <w:tc>
          <w:tcPr>
            <w:tcW w:type="dxa" w:w="2376"/>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Risk</w:t>
            </w:r>
          </w:p>
        </w:tc>
        <w:tc>
          <w:tcPr>
            <w:tcW w:type="dxa" w:w="6983"/>
            <w:tcMar>
              <w:top w:w="80" w:type="dxa"/>
              <w:start w:w="120" w:type="dxa"/>
              <w:bottom w:w="80" w:type="dxa"/>
              <w:end w:w="120" w:type="dxa"/>
            </w:tcMar>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vAlign w:val="center"/>
          </w:tcPr>
          <w:p>
            <w:pPr>
              <w:spacing w:before="0" w:after="0" w:line="264" w:lineRule="auto"/>
              <w:jc w:val="center"/>
            </w:pPr>
            <w:r>
              <w:rPr>
                <w:rFonts w:ascii="Calibri" w:hAnsi="Calibri"/>
                <w:b w:val="0"/>
                <w:color w:val="141C26"/>
                <w:sz w:val="17"/>
              </w:rPr>
              <w:t>SL below a real structure low; risk preferably &lt;= 6%; target realistic for 5-10 sessions.</w:t>
            </w:r>
          </w:p>
        </w:tc>
      </w:tr>
    </w:tbl>
    <w:p>
      <w:pPr>
        <w:spacing w:after="80"/>
      </w:pPr>
    </w:p>
    <w:p>
      <w:pPr>
        <w:pStyle w:val="Heading1"/>
      </w:pPr>
      <w:r>
        <w:t>Operational SOP for Future Scans</w:t>
      </w:r>
    </w:p>
    <w:p>
      <w:pPr>
        <w:pStyle w:val="ListNumber"/>
        <w:spacing w:after="100" w:line="280" w:lineRule="auto"/>
        <w:ind w:left="720" w:hanging="360"/>
      </w:pPr>
      <w:r>
        <w:rPr>
          <w:rFonts w:ascii="Calibri" w:hAnsi="Calibri"/>
          <w:b w:val="0"/>
          <w:i w:val="0"/>
          <w:color w:val="141C26"/>
          <w:sz w:val="21"/>
        </w:rPr>
        <w:t>Run the swing scanner only after the latest daily candle has settled, then timestamp the scan clearly.</w:t>
      </w:r>
    </w:p>
    <w:p>
      <w:pPr>
        <w:pStyle w:val="ListNumber"/>
        <w:spacing w:after="100" w:line="280" w:lineRule="auto"/>
        <w:ind w:left="720" w:hanging="360"/>
      </w:pPr>
      <w:r>
        <w:rPr>
          <w:rFonts w:ascii="Calibri" w:hAnsi="Calibri"/>
          <w:b w:val="0"/>
          <w:i w:val="0"/>
          <w:color w:val="141C26"/>
          <w:sz w:val="21"/>
        </w:rPr>
        <w:t>Before saving a candidate, evaluate the pre-entry gates and store pass/fail reasons with the record.</w:t>
      </w:r>
    </w:p>
    <w:p>
      <w:pPr>
        <w:pStyle w:val="ListNumber"/>
        <w:spacing w:after="100" w:line="280" w:lineRule="auto"/>
        <w:ind w:left="720" w:hanging="360"/>
      </w:pPr>
      <w:r>
        <w:rPr>
          <w:rFonts w:ascii="Calibri" w:hAnsi="Calibri"/>
          <w:b w:val="0"/>
          <w:i w:val="0"/>
          <w:color w:val="141C26"/>
          <w:sz w:val="21"/>
        </w:rPr>
        <w:t>Keep candidates in watchlist until live price triggers entry and the 15-minute structure remains valid.</w:t>
      </w:r>
    </w:p>
    <w:p>
      <w:pPr>
        <w:pStyle w:val="ListNumber"/>
        <w:spacing w:after="100" w:line="280" w:lineRule="auto"/>
        <w:ind w:left="720" w:hanging="360"/>
      </w:pPr>
      <w:r>
        <w:rPr>
          <w:rFonts w:ascii="Calibri" w:hAnsi="Calibri"/>
          <w:b w:val="0"/>
          <w:i w:val="0"/>
          <w:color w:val="141C26"/>
          <w:sz w:val="21"/>
        </w:rPr>
        <w:t>Hide duplicates if a stock is already in watchlist or active tracker, unless the old trade is closed.</w:t>
      </w:r>
    </w:p>
    <w:p>
      <w:pPr>
        <w:pStyle w:val="ListNumber"/>
        <w:spacing w:after="100" w:line="280" w:lineRule="auto"/>
        <w:ind w:left="720" w:hanging="360"/>
      </w:pPr>
      <w:r>
        <w:rPr>
          <w:rFonts w:ascii="Calibri" w:hAnsi="Calibri"/>
          <w:b w:val="0"/>
          <w:i w:val="0"/>
          <w:color w:val="141C26"/>
          <w:sz w:val="21"/>
        </w:rPr>
        <w:t>Show blank P&amp;L for unentered watchlist trades and calculate active P&amp;L only from entry to CMP/exit.</w:t>
      </w:r>
    </w:p>
    <w:p>
      <w:pPr>
        <w:pStyle w:val="ListNumber"/>
        <w:spacing w:after="100" w:line="280" w:lineRule="auto"/>
        <w:ind w:left="720" w:hanging="360"/>
      </w:pPr>
      <w:r>
        <w:rPr>
          <w:rFonts w:ascii="Calibri" w:hAnsi="Calibri"/>
          <w:b w:val="0"/>
          <w:i w:val="0"/>
          <w:color w:val="141C26"/>
          <w:sz w:val="21"/>
        </w:rPr>
        <w:t>Review failed batches by scan date, not only by stock name, because correlated failures usually come from market context.</w:t>
      </w:r>
    </w:p>
    <w:p>
      <w:pPr>
        <w:pStyle w:val="Heading1"/>
      </w:pPr>
      <w:r>
        <w:t>Lessons</w:t>
      </w:r>
    </w:p>
    <w:p>
      <w:pPr>
        <w:pStyle w:val="ListBullet"/>
        <w:spacing w:after="80" w:line="280" w:lineRule="auto"/>
        <w:ind w:left="720" w:hanging="360"/>
      </w:pPr>
      <w:r>
        <w:rPr>
          <w:rFonts w:ascii="Calibri" w:hAnsi="Calibri"/>
          <w:b w:val="0"/>
          <w:i w:val="0"/>
          <w:color w:val="141C26"/>
          <w:sz w:val="21"/>
        </w:rPr>
        <w:t>A high score is not a trade unless it survives market regime, RS, RVOL, and lower-timeframe structure.</w:t>
      </w:r>
    </w:p>
    <w:p>
      <w:pPr>
        <w:pStyle w:val="ListBullet"/>
        <w:spacing w:after="80" w:line="280" w:lineRule="auto"/>
        <w:ind w:left="720" w:hanging="360"/>
      </w:pPr>
      <w:r>
        <w:rPr>
          <w:rFonts w:ascii="Calibri" w:hAnsi="Calibri"/>
          <w:b w:val="0"/>
          <w:i w:val="0"/>
          <w:color w:val="141C26"/>
          <w:sz w:val="21"/>
        </w:rPr>
        <w:t>Fresh breakout means fresh expansion from a base, not a stock that has already moved vertically.</w:t>
      </w:r>
    </w:p>
    <w:p>
      <w:pPr>
        <w:pStyle w:val="ListBullet"/>
        <w:spacing w:after="80" w:line="280" w:lineRule="auto"/>
        <w:ind w:left="720" w:hanging="360"/>
      </w:pPr>
      <w:r>
        <w:rPr>
          <w:rFonts w:ascii="Calibri" w:hAnsi="Calibri"/>
          <w:b w:val="0"/>
          <w:i w:val="0"/>
          <w:color w:val="141C26"/>
          <w:sz w:val="21"/>
        </w:rPr>
        <w:t>Sector leader labels must be backed by RS and sector breadth, not just price momentum.</w:t>
      </w:r>
    </w:p>
    <w:p>
      <w:pPr>
        <w:pStyle w:val="ListBullet"/>
        <w:spacing w:after="80" w:line="280" w:lineRule="auto"/>
        <w:ind w:left="720" w:hanging="360"/>
      </w:pPr>
      <w:r>
        <w:rPr>
          <w:rFonts w:ascii="Calibri" w:hAnsi="Calibri"/>
          <w:b w:val="0"/>
          <w:i w:val="0"/>
          <w:color w:val="141C26"/>
          <w:sz w:val="21"/>
        </w:rPr>
        <w:t>Targets should match the intended holding period. For 5-10 day swings, far-away 15-20% objectives can mislead users.</w:t>
      </w:r>
    </w:p>
    <w:p>
      <w:pPr>
        <w:pStyle w:val="ListBullet"/>
        <w:spacing w:after="80" w:line="280" w:lineRule="auto"/>
        <w:ind w:left="720" w:hanging="360"/>
      </w:pPr>
      <w:r>
        <w:rPr>
          <w:rFonts w:ascii="Calibri" w:hAnsi="Calibri"/>
          <w:b w:val="0"/>
          <w:i w:val="0"/>
          <w:color w:val="141C26"/>
          <w:sz w:val="21"/>
        </w:rPr>
        <w:t>The scanner should reject fewer but better names, not produce many impressive-looking candidates.</w:t>
      </w:r>
    </w:p>
    <w:p>
      <w:pPr>
        <w:pStyle w:val="Heading1"/>
      </w:pPr>
      <w:r>
        <w:t>Implementation Note</w:t>
      </w:r>
    </w:p>
    <w:p>
      <w:pPr>
        <w:spacing w:before="0" w:after="120" w:line="264" w:lineRule="auto"/>
      </w:pPr>
      <w:r>
        <w:rPr>
          <w:rFonts w:ascii="Calibri" w:hAnsi="Calibri"/>
          <w:b w:val="0"/>
          <w:i w:val="0"/>
          <w:color w:val="141C26"/>
          <w:sz w:val="22"/>
        </w:rPr>
        <w:t>No mobile API contract change is required for this review by itself. Mobile clients should expect fewer swing picks after the stricter filters. Existing fields can still be displayed, but the app should treat watchlist, active, target, and SL states separately and should not show P&amp;L for unentered watchlist trades.</w:t>
      </w:r>
    </w:p>
    <w:p>
      <w:pPr>
        <w:spacing w:before="0" w:after="120" w:line="264" w:lineRule="auto"/>
      </w:pPr>
      <w:r>
        <w:rPr>
          <w:rFonts w:ascii="Calibri" w:hAnsi="Calibri"/>
          <w:b w:val="0"/>
          <w:i w:val="0"/>
          <w:color w:val="141C26"/>
          <w:sz w:val="22"/>
        </w:rPr>
        <w:t>Recommended UI copy for users: 'Swing scan results are candidates, not instant entries. Entry becomes active only after price triggers and market/structure checks remain valid.'</w:t>
      </w:r>
    </w:p>
    <w:p>
      <w:pPr>
        <w:pStyle w:val="Heading1"/>
      </w:pPr>
      <w:r>
        <w:t>Disclaimer</w:t>
      </w:r>
    </w:p>
    <w:p>
      <w:pPr>
        <w:spacing w:before="0" w:after="120" w:line="264" w:lineRule="auto"/>
      </w:pPr>
      <w:r>
        <w:rPr>
          <w:rFonts w:ascii="Calibri" w:hAnsi="Calibri"/>
          <w:b w:val="0"/>
          <w:i w:val="0"/>
          <w:color w:val="141C26"/>
          <w:sz w:val="22"/>
        </w:rPr>
        <w:t>This document is for post-trade process review and educational analysis only. It is not investment advice, a recommendation to buy or sell securities, or a guarantee of future performance. All trading decisions remain the responsibility of the trader.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right"/>
    </w:pPr>
    <w:r>
      <w:rPr>
        <w:rFonts w:ascii="Calibri" w:hAnsi="Calibri"/>
        <w:b w:val="0"/>
        <w:i w:val="0"/>
        <w:color w:val="5A6675"/>
        <w:sz w:val="17"/>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right"/>
    </w:pPr>
    <w:r>
      <w:rPr>
        <w:rFonts w:ascii="Calibri" w:hAnsi="Calibri"/>
        <w:b w:val="0"/>
        <w:i w:val="0"/>
        <w:color w:val="5A6675"/>
        <w:sz w:val="17"/>
      </w:rPr>
      <w:t>Post-Trade Review | Swing Trade Failure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41C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