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14="http://schemas.microsoft.com/office/word/2010/wordml" xmlns:wp14="http://schemas.microsoft.com/office/word/2010/wordprocessingDrawing" xmlns:w="http://schemas.openxmlformats.org/wordprocessingml/2006/main" ns1:Ignorable="w14 wp14">
  <w:body>
    <w:p>
      <w:pPr>
        <w:shd w:val="clear" w:fill="1F497D"/>
        <w:spacing w:before="1440" w:after="240"/>
        <w:jc w:val="center"/>
      </w:pPr>
      <w:r>
        <w:rPr>
          <w:rFonts w:ascii="Calibri" w:hAnsi="Calibri"/>
          <w:b/>
          <w:color w:val="FFFFFF"/>
          <w:sz w:val="56"/>
        </w:rPr>
        <w:t>MSSQL MIGRATION</w:t>
      </w:r>
    </w:p>
    <w:p>
      <w:pPr>
        <w:shd w:val="clear" w:fill="1F497D"/>
        <w:spacing w:before="0" w:after="240"/>
        <w:jc w:val="center"/>
      </w:pPr>
      <w:r>
        <w:rPr>
          <w:rFonts w:ascii="Calibri" w:hAnsi="Calibri"/>
          <w:color w:val="D5E8F0"/>
          <w:sz w:val="32"/>
        </w:rPr>
        <w:t>Architecture Diagram Description</w:t>
      </w:r>
    </w:p>
    <w:p>
      <w:pPr>
        <w:shd w:val="clear" w:fill="1F497D"/>
        <w:spacing w:before="0" w:after="1440"/>
        <w:jc w:val="center"/>
      </w:pPr>
      <w:r>
        <w:rPr>
          <w:rFonts w:ascii="Calibri" w:hAnsi="Calibri"/>
          <w:i/>
          <w:color w:val="BFD7ED"/>
          <w:sz w:val="22"/>
        </w:rPr>
        <w:t>EC2 SQL Server 2016  →  AWS RDS SQL Server 2022</w:t>
        <w:br/>
        <w:t>Generali Global Assistance  |  Nagarro  |  March 2026</w:t>
      </w:r>
    </w:p>
    <w:p>
      <w:r>
        <w:br w:type="page"/>
      </w:r>
    </w:p>
    <w:p>
      <w:pPr>
        <w:pStyle w:val="Heading1"/>
        <w:shd w:val="clear" w:color="auto" w:fill="1F497D"/>
        <w:spacing w:before="120" w:after="120"/>
        <w:ind w:left="180"/>
      </w:pPr>
      <w:r>
        <w:rPr>
          <w:rFonts w:ascii="Calibri" w:hAnsi="Calibri"/>
          <w:b/>
          <w:color w:val="FFFFFF"/>
          <w:sz w:val="32"/>
        </w:rPr>
        <w:t>1. Executive Overview</w:t>
      </w:r>
    </w:p>
    <w:p>
      <w:pPr>
        <w:spacing w:before="40" w:after="80"/>
      </w:pPr>
      <w:r>
        <w:rPr>
          <w:rFonts w:ascii="Calibri" w:hAnsi="Calibri"/>
          <w:color w:val="0D0D0D"/>
          <w:sz w:val="20"/>
        </w:rPr>
        <w:t>This document provides a comprehensive textual description of all architecture diagrams supporting the migration of Generali Global Assistance (GGA) SQL Server workloads from AWS EC2 (SQL Server 2016) to Amazon RDS for SQL Server 2022. Each diagram section describes the components, data flows, network boundaries, and design decisions so that architects, engineers, and reviewers can understand, validate, and implement the target-state architecture without ambiguity.</w:t>
      </w:r>
    </w:p>
    <w:p>
      <w:pPr>
        <w:spacing w:before="40" w:after="80"/>
      </w:pPr>
      <w:r>
        <w:rPr>
          <w:rFonts w:ascii="Calibri" w:hAnsi="Calibri"/>
          <w:color w:val="0D0D0D"/>
          <w:sz w:val="20"/>
        </w:rPr>
        <w:t>The architecture covers six principal views: (1) Migration Flow, (2) Production High-Availability, (3) Disaster Recovery (Multi-Region), (4) Non-Production Environment Layout, (5) Monitoring &amp; Observability Stack, and (6) Network &amp; Security Boundary. Each view is self-contained yet cross-referenced where components overlap.</w:t>
      </w:r>
    </w:p>
    <w:tbl>
      <w:tblPr>
        <w:tblStyle w:val="TableGrid"/>
        <w:tblW w:type="auto" w:w="0"/>
        <w:jc w:val="left"/>
        <w:tblLook w:firstColumn="1" w:firstRow="1" w:lastColumn="0" w:lastRow="0" w:noHBand="0" w:noVBand="1" w:val="04A0"/>
      </w:tblPr>
      <w:tblGrid>
        <w:gridCol w:w="259"/>
        <w:gridCol w:w="8381"/>
      </w:tblGrid>
      <w:tr>
        <w:tc>
          <w:tcPr>
            <w:tcW w:type="dxa" w:w="4680"/>
            <w:tcBorders>
              <w:top w:val="nil"/>
              <w:left w:val="nil"/>
              <w:bottom w:val="nil"/>
              <w:right w:val="nil"/>
              <w:insideH w:val="nil"/>
              <w:insideV w:val="nil"/>
            </w:tcBorders>
            <w:shd w:val="clear" w:color="auto" w:fill="ED7D31"/>
          </w:tcPr>
          <w:p/>
        </w:tc>
        <w:tc>
          <w:tcPr>
            <w:tcW w:type="dxa" w:w="4680"/>
            <w:shd w:val="clear" w:color="auto" w:fill="F2F2F2"/>
          </w:tcPr>
          <w:p>
            <w:pPr>
              <w:spacing w:before="60" w:after="60"/>
              <w:ind w:left="120"/>
              <w:jc w:val="left"/>
            </w:pPr>
            <w:r>
              <w:rPr>
                <w:rFonts w:ascii="Calibri" w:hAnsi="Calibri"/>
                <w:b/>
                <w:color w:val="ED7D31"/>
                <w:sz w:val="20"/>
              </w:rPr>
              <w:t xml:space="preserve">Recommended Approach:  </w:t>
            </w:r>
            <w:r>
              <w:rPr>
                <w:rFonts w:ascii="Calibri" w:hAnsi="Calibri"/>
                <w:color w:val="0D0D0D"/>
                <w:sz w:val="20"/>
              </w:rPr>
              <w:t>Option B — AWS DMS Full Load + CDC. Minimal downtime (&lt;4 hrs production cutover) for 11.22 TB across 15 production databases.</w:t>
            </w:r>
          </w:p>
        </w:tc>
      </w:tr>
    </w:tbl>
    <w:p/>
    <w:p>
      <w:pPr>
        <w:pStyle w:val="Heading1"/>
        <w:shd w:val="clear" w:color="auto" w:fill="1F497D"/>
        <w:spacing w:before="120" w:after="120"/>
        <w:ind w:left="180"/>
      </w:pPr>
      <w:r>
        <w:rPr>
          <w:rFonts w:ascii="Calibri" w:hAnsi="Calibri"/>
          <w:b/>
          <w:color w:val="FFFFFF"/>
          <w:sz w:val="32"/>
        </w:rPr>
        <w:t>2. Source Environment Inventory</w:t>
      </w:r>
    </w:p>
    <w:p>
      <w:pPr>
        <w:spacing w:before="40" w:after="80"/>
      </w:pPr>
      <w:r>
        <w:rPr>
          <w:rFonts w:ascii="Calibri" w:hAnsi="Calibri"/>
          <w:color w:val="0D0D0D"/>
          <w:sz w:val="20"/>
        </w:rPr>
        <w:t>The following table summarises the source SQL Server instances being migrated. All source instances run on AWS EC2. Production currently operates as a three-node Always On Availability Group with a cross-region synchronous replica.</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728"/>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Environment</w:t>
            </w:r>
          </w:p>
        </w:tc>
        <w:tc>
          <w:tcPr>
            <w:tcW w:type="dxa" w:w="201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EC2 IP(s)</w:t>
            </w:r>
          </w:p>
        </w:tc>
        <w:tc>
          <w:tcPr>
            <w:tcW w:type="dxa" w:w="144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Edition</w:t>
            </w:r>
          </w:p>
        </w:tc>
        <w:tc>
          <w:tcPr>
            <w:tcW w:type="dxa" w:w="72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 DBs</w:t>
            </w:r>
          </w:p>
        </w:tc>
        <w:tc>
          <w:tcPr>
            <w:tcW w:type="dxa" w:w="144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Data Volume</w:t>
            </w:r>
          </w:p>
        </w:tc>
        <w:tc>
          <w:tcPr>
            <w:tcW w:type="dxa" w:w="3024"/>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HA / Notes</w:t>
            </w:r>
          </w:p>
        </w:tc>
      </w:tr>
      <w:tr>
        <w:tc>
          <w:tcPr>
            <w:tcW w:type="dxa" w:w="1728"/>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DEV</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101.x.x.228</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Developer</w:t>
            </w:r>
          </w:p>
        </w:tc>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21</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2.13 TB</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Single AZ, full-load only</w:t>
            </w:r>
          </w:p>
        </w:tc>
      </w:tr>
      <w:tr>
        <w:tc>
          <w:tcPr>
            <w:tcW w:type="dxa" w:w="1728"/>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QA</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62.x.x.228</w:t>
            </w:r>
          </w:p>
        </w:tc>
        <w:tc>
          <w:tcPr>
            <w:tcW w:type="dxa" w:w="144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Developer</w:t>
            </w:r>
          </w:p>
        </w:tc>
        <w:tc>
          <w:tcPr>
            <w:tcW w:type="dxa" w:w="7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21</w:t>
            </w:r>
          </w:p>
        </w:tc>
        <w:tc>
          <w:tcPr>
            <w:tcW w:type="dxa" w:w="144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3.11 TB</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Single AZ, full-load only</w:t>
            </w:r>
          </w:p>
        </w:tc>
      </w:tr>
      <w:tr>
        <w:tc>
          <w:tcPr>
            <w:tcW w:type="dxa" w:w="1728"/>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INT / UAT</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101.x.x.228</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Standard</w:t>
            </w:r>
          </w:p>
        </w:tc>
        <w:tc>
          <w:tcPr>
            <w:tcW w:type="dxa" w:w="7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13</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1.30 TB</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Multi-AZ required</w:t>
            </w:r>
          </w:p>
        </w:tc>
      </w:tr>
      <w:tr>
        <w:tc>
          <w:tcPr>
            <w:tcW w:type="dxa" w:w="1728"/>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Production</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15.181 / 7.100 / 7.228</w:t>
            </w:r>
          </w:p>
        </w:tc>
        <w:tc>
          <w:tcPr>
            <w:tcW w:type="dxa" w:w="144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Enterprise</w:t>
            </w:r>
          </w:p>
        </w:tc>
        <w:tc>
          <w:tcPr>
            <w:tcW w:type="dxa" w:w="7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15</w:t>
            </w:r>
          </w:p>
        </w:tc>
        <w:tc>
          <w:tcPr>
            <w:tcW w:type="dxa" w:w="144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~11.22 TB</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3-node Always On + cross-region replica</w:t>
            </w:r>
          </w:p>
        </w:tc>
      </w:tr>
    </w:tbl>
    <w:p/>
    <w:p>
      <w:pPr>
        <w:pStyle w:val="Heading1"/>
        <w:shd w:val="clear" w:color="auto" w:fill="1F497D"/>
        <w:spacing w:before="120" w:after="120"/>
        <w:ind w:left="180"/>
      </w:pPr>
      <w:r>
        <w:rPr>
          <w:rFonts w:ascii="Calibri" w:hAnsi="Calibri"/>
          <w:b/>
          <w:color w:val="FFFFFF"/>
          <w:sz w:val="32"/>
        </w:rPr>
        <w:t>3. Diagram A — Migration Data Flow (DMS Full Load + CDC)</w:t>
      </w:r>
    </w:p>
    <w:p>
      <w:pPr>
        <w:spacing w:before="40" w:after="80"/>
      </w:pPr>
      <w:r>
        <w:rPr>
          <w:rFonts w:ascii="Calibri" w:hAnsi="Calibri"/>
          <w:color w:val="0D0D0D"/>
          <w:sz w:val="20"/>
        </w:rPr>
        <w:t>This diagram illustrates the end-to-end data movement pipeline used to migrate each wave of databases from the EC2 source to the RDS target with minimal downtime. The pipeline has four logical zones: Source, Orchestration, Transport, and Target.</w:t>
      </w:r>
    </w:p>
    <w:p>
      <w:pPr>
        <w:spacing w:before="120" w:after="40"/>
      </w:pPr>
      <w:r>
        <w:rPr>
          <w:rFonts w:ascii="Calibri" w:hAnsi="Calibri"/>
          <w:b/>
          <w:color w:val="1F497D"/>
          <w:sz w:val="20"/>
        </w:rPr>
        <w:t>Figure A1 – Migration Data Flow Overview</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w:t>
            </w:r>
          </w:p>
          <w:p>
            <w:pPr>
              <w:spacing w:before="0" w:after="0" w:line="240" w:lineRule="auto"/>
              <w:ind w:left="120"/>
            </w:pPr>
            <w:r>
              <w:rPr>
                <w:rFonts w:ascii="Courier New" w:hAnsi="Courier New"/>
                <w:color w:val="C8E6C9"/>
                <w:sz w:val="16"/>
              </w:rPr>
              <w:t>│                        AWS US-WEST REGION (PRIMARY)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SOURCE  (EC2)          │      │           TARGET  (RDS)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SQL Server 2016         │      │  RDS SQL Server 2022                      │ │</w:t>
            </w:r>
          </w:p>
          <w:p>
            <w:pPr>
              <w:spacing w:before="0" w:after="0" w:line="240" w:lineRule="auto"/>
              <w:ind w:left="120"/>
            </w:pPr>
            <w:r>
              <w:rPr>
                <w:rFonts w:ascii="Courier New" w:hAnsi="Courier New"/>
                <w:color w:val="C8E6C9"/>
                <w:sz w:val="16"/>
              </w:rPr>
              <w:t>│  │  3-Node Always On AG     │      │  Multi-AZ (Primary + Standby)             │ │</w:t>
            </w:r>
          </w:p>
          <w:p>
            <w:pPr>
              <w:spacing w:before="0" w:after="0" w:line="240" w:lineRule="auto"/>
              <w:ind w:left="120"/>
            </w:pPr>
            <w:r>
              <w:rPr>
                <w:rFonts w:ascii="Courier New" w:hAnsi="Courier New"/>
                <w:color w:val="C8E6C9"/>
                <w:sz w:val="16"/>
              </w:rPr>
              <w:t>│  │  15 DBs / ~11.22 TB      │      │  db.r6i.16xlarge  |  gp3 13 TB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CDC Log Reader enabled  │      │  KMS-encrypted  |  TLS 1.2+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Full Load + CDC stream                  │ Apply Changes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AWS DMS Replication Instance      │──────────────────┘                        │</w:t>
            </w:r>
          </w:p>
          <w:p>
            <w:pPr>
              <w:spacing w:before="0" w:after="0" w:line="240" w:lineRule="auto"/>
              <w:ind w:left="120"/>
            </w:pPr>
            <w:r>
              <w:rPr>
                <w:rFonts w:ascii="Courier New" w:hAnsi="Courier New"/>
                <w:color w:val="C8E6C9"/>
                <w:sz w:val="16"/>
              </w:rPr>
              <w:t>│  │   (r5.4xlarge  |  500 GB cache)     │                                           │</w:t>
            </w:r>
          </w:p>
          <w:p>
            <w:pPr>
              <w:spacing w:before="0" w:after="0" w:line="240" w:lineRule="auto"/>
              <w:ind w:left="120"/>
            </w:pPr>
            <w:r>
              <w:rPr>
                <w:rFonts w:ascii="Courier New" w:hAnsi="Courier New"/>
                <w:color w:val="C8E6C9"/>
                <w:sz w:val="16"/>
              </w:rPr>
              <w:t>│  │   Subnet: DMS-Private-Subnet        │                                           │</w:t>
            </w:r>
          </w:p>
          <w:p>
            <w:pPr>
              <w:spacing w:before="0" w:after="0" w:line="240" w:lineRule="auto"/>
              <w:ind w:left="120"/>
            </w:pPr>
            <w:r>
              <w:rPr>
                <w:rFonts w:ascii="Courier New" w:hAnsi="Courier New"/>
                <w:color w:val="C8E6C9"/>
                <w:sz w:val="16"/>
              </w:rPr>
              <w:t>│  │   Tasks: Full-Load → then CDC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Task logs / status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S3 Bucket               │   │   AWS Schema Conversion Tool (SCT)           │  │</w:t>
            </w:r>
          </w:p>
          <w:p>
            <w:pPr>
              <w:spacing w:before="0" w:after="0" w:line="240" w:lineRule="auto"/>
              <w:ind w:left="120"/>
            </w:pPr>
            <w:r>
              <w:rPr>
                <w:rFonts w:ascii="Courier New" w:hAnsi="Courier New"/>
                <w:color w:val="C8E6C9"/>
                <w:sz w:val="16"/>
              </w:rPr>
              <w:t>│  │   (DMS logs / staging)    │   │   Converts schema objects prior to DMS load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w:t>
            </w:r>
          </w:p>
        </w:tc>
      </w:tr>
    </w:tbl>
    <w:p/>
    <w:p>
      <w:pPr>
        <w:pStyle w:val="Heading3"/>
        <w:spacing w:before="120" w:after="40"/>
      </w:pPr>
      <w:r>
        <w:rPr>
          <w:rFonts w:ascii="Calibri" w:hAnsi="Calibri"/>
          <w:b/>
          <w:color w:val="2E75B6"/>
          <w:sz w:val="22"/>
        </w:rPr>
        <w:t>3.1 Zone 1 – Source (EC2)</w:t>
      </w:r>
    </w:p>
    <w:p>
      <w:pPr>
        <w:spacing w:before="40" w:after="80"/>
      </w:pPr>
      <w:r>
        <w:rPr>
          <w:rFonts w:ascii="Calibri" w:hAnsi="Calibri"/>
          <w:color w:val="0D0D0D"/>
          <w:sz w:val="20"/>
        </w:rPr>
        <w:t>Three EC2 instances host the production SQL Server 2016 Always On cluster (primary, secondary, cross-region replica). CDC is enabled at the database level; SQL Server transaction logs are retained for at least 24 hours to support DMS lag recovery. The DMS endpoint connects to the primary replica listener via a private security-group-restricted port (TCP 1433). A dedicated IAM role grants DMS read-only access to the source endpoint.</w:t>
      </w:r>
    </w:p>
    <w:p>
      <w:pPr>
        <w:pStyle w:val="Heading3"/>
        <w:spacing w:before="120" w:after="40"/>
      </w:pPr>
      <w:r>
        <w:rPr>
          <w:rFonts w:ascii="Calibri" w:hAnsi="Calibri"/>
          <w:b/>
          <w:color w:val="2E75B6"/>
          <w:sz w:val="22"/>
        </w:rPr>
        <w:t>3.2 Zone 2 – AWS DMS Replication Instance</w:t>
      </w:r>
    </w:p>
    <w:p>
      <w:pPr>
        <w:spacing w:before="40" w:after="80"/>
      </w:pPr>
      <w:r>
        <w:rPr>
          <w:rFonts w:ascii="Calibri" w:hAnsi="Calibri"/>
          <w:color w:val="0D0D0D"/>
          <w:sz w:val="20"/>
        </w:rPr>
        <w:t>A DMS r5.4xlarge replication instance (16 vCPU, 128 GiB RAM) sits in the DMS-Private subnet within the same VPC as the target RDS. It orchestrates two task phases:</w:t>
      </w:r>
    </w:p>
    <w:p>
      <w:pPr>
        <w:pStyle w:val="ListBullet"/>
        <w:spacing w:before="20" w:after="20"/>
      </w:pPr>
      <w:r>
        <w:rPr>
          <w:rFonts w:ascii="Calibri" w:hAnsi="Calibri"/>
          <w:color w:val="0D0D0D"/>
          <w:sz w:val="20"/>
        </w:rPr>
        <w:t>Phase 1 — Full Load: Parallel table-level threads read all existing rows and stream them to RDS. Expected throughput: ~500 MB/s with an estimated 7 hours for 12 TB.</w:t>
      </w:r>
    </w:p>
    <w:p>
      <w:pPr>
        <w:pStyle w:val="ListBullet"/>
        <w:spacing w:before="20" w:after="20"/>
      </w:pPr>
      <w:r>
        <w:rPr>
          <w:rFonts w:ascii="Calibri" w:hAnsi="Calibri"/>
          <w:color w:val="0D0D0D"/>
          <w:sz w:val="20"/>
        </w:rPr>
        <w:t>Phase 2 — CDC (Change Data Capture): After full-load completes, DMS switches to log-based replication, continuously applying inserts, updates, and deletes from the source transaction log to the target.</w:t>
      </w:r>
    </w:p>
    <w:p>
      <w:pPr>
        <w:pStyle w:val="ListBullet"/>
        <w:spacing w:before="20" w:after="20"/>
      </w:pPr>
      <w:r>
        <w:rPr>
          <w:rFonts w:ascii="Calibri" w:hAnsi="Calibri"/>
          <w:color w:val="0D0D0D"/>
          <w:sz w:val="20"/>
        </w:rPr>
        <w:t>Task monitoring: DMS emits replication lag, row counts, and error metrics to CloudWatch. Alarms trigger at lag &gt; 60 seconds or error rate &gt; 0.</w:t>
      </w:r>
    </w:p>
    <w:p>
      <w:pPr>
        <w:pStyle w:val="Heading3"/>
        <w:spacing w:before="120" w:after="40"/>
      </w:pPr>
      <w:r>
        <w:rPr>
          <w:rFonts w:ascii="Calibri" w:hAnsi="Calibri"/>
          <w:b/>
          <w:color w:val="2E75B6"/>
          <w:sz w:val="22"/>
        </w:rPr>
        <w:t>3.3 Zone 3 – AWS Schema Conversion Tool (SCT)</w:t>
      </w:r>
    </w:p>
    <w:p>
      <w:pPr>
        <w:spacing w:before="40" w:after="80"/>
      </w:pPr>
      <w:r>
        <w:rPr>
          <w:rFonts w:ascii="Calibri" w:hAnsi="Calibri"/>
          <w:color w:val="0D0D0D"/>
          <w:sz w:val="20"/>
        </w:rPr>
        <w:t>AWS SCT runs as a pre-migration step (outside the live DMS pipeline). It scans all source objects (tables, views, stored procedures, triggers, indexes) and generates a compatibility report. ~98% of storage and code objects convert automatically. The remaining 2% — primarily system-level procedures referencing OS paths, CLR assemblies, or Service Broker — require manual remediation before DMS full-load begins.</w:t>
      </w:r>
    </w:p>
    <w:p>
      <w:pPr>
        <w:pStyle w:val="Heading3"/>
        <w:spacing w:before="120" w:after="40"/>
      </w:pPr>
      <w:r>
        <w:rPr>
          <w:rFonts w:ascii="Calibri" w:hAnsi="Calibri"/>
          <w:b/>
          <w:color w:val="2E75B6"/>
          <w:sz w:val="22"/>
        </w:rPr>
        <w:t>3.4 Cutover Sequence</w:t>
      </w:r>
    </w:p>
    <w:p>
      <w:pPr>
        <w:pStyle w:val="ListBullet"/>
        <w:spacing w:before="20" w:after="20"/>
      </w:pPr>
      <w:r>
        <w:rPr>
          <w:rFonts w:ascii="Calibri" w:hAnsi="Calibri"/>
          <w:color w:val="0D0D0D"/>
          <w:sz w:val="20"/>
        </w:rPr>
        <w:t>1. Freeze writes: Application teams halt write transactions at agreed maintenance window start.</w:t>
      </w:r>
    </w:p>
    <w:p>
      <w:pPr>
        <w:pStyle w:val="ListBullet"/>
        <w:spacing w:before="20" w:after="20"/>
      </w:pPr>
      <w:r>
        <w:rPr>
          <w:rFonts w:ascii="Calibri" w:hAnsi="Calibri"/>
          <w:color w:val="0D0D0D"/>
          <w:sz w:val="20"/>
        </w:rPr>
        <w:t>2. Final CDC drain: DMS CDC lag is monitored until it reaches 0 (all changes applied to RDS).</w:t>
      </w:r>
    </w:p>
    <w:p>
      <w:pPr>
        <w:pStyle w:val="ListBullet"/>
        <w:spacing w:before="20" w:after="20"/>
      </w:pPr>
      <w:r>
        <w:rPr>
          <w:rFonts w:ascii="Calibri" w:hAnsi="Calibri"/>
          <w:color w:val="0D0D0D"/>
          <w:sz w:val="20"/>
        </w:rPr>
        <w:t>3. Stop DMS task: DMS replication task is gracefully stopped; task status recorded.</w:t>
      </w:r>
    </w:p>
    <w:p>
      <w:pPr>
        <w:pStyle w:val="ListBullet"/>
        <w:spacing w:before="20" w:after="20"/>
      </w:pPr>
      <w:r>
        <w:rPr>
          <w:rFonts w:ascii="Calibri" w:hAnsi="Calibri"/>
          <w:color w:val="0D0D0D"/>
          <w:sz w:val="20"/>
        </w:rPr>
        <w:t>4. Endpoint switch: Application connection strings are updated to point to the new RDS endpoint (Route 53 CNAME or JDBC URL change).</w:t>
      </w:r>
    </w:p>
    <w:p>
      <w:pPr>
        <w:pStyle w:val="ListBullet"/>
        <w:spacing w:before="20" w:after="20"/>
      </w:pPr>
      <w:r>
        <w:rPr>
          <w:rFonts w:ascii="Calibri" w:hAnsi="Calibri"/>
          <w:color w:val="0D0D0D"/>
          <w:sz w:val="20"/>
        </w:rPr>
        <w:t>5. Smoke test: Automated health checks and row-count validation are executed against RDS.</w:t>
      </w:r>
    </w:p>
    <w:p>
      <w:pPr>
        <w:pStyle w:val="ListBullet"/>
        <w:spacing w:before="20" w:after="20"/>
      </w:pPr>
      <w:r>
        <w:rPr>
          <w:rFonts w:ascii="Calibri" w:hAnsi="Calibri"/>
          <w:color w:val="0D0D0D"/>
          <w:sz w:val="20"/>
        </w:rPr>
        <w:t>6. Business sign-off: GGA application teams confirm functionality; AWS architect signs off architecture.</w:t>
      </w:r>
    </w:p>
    <w:p>
      <w:pPr>
        <w:pStyle w:val="ListBullet"/>
        <w:spacing w:before="20" w:after="20"/>
      </w:pPr>
      <w:r>
        <w:rPr>
          <w:rFonts w:ascii="Calibri" w:hAnsi="Calibri"/>
          <w:color w:val="0D0D0D"/>
          <w:sz w:val="20"/>
        </w:rPr>
        <w:t>7. Decommission DMS: DMS instance is terminated after a 72-hour hold period to reduce cost.</w:t>
      </w:r>
    </w:p>
    <w:tbl>
      <w:tblPr>
        <w:tblStyle w:val="TableGrid"/>
        <w:tblW w:type="auto" w:w="0"/>
        <w:jc w:val="left"/>
        <w:tblLook w:firstColumn="1" w:firstRow="1" w:lastColumn="0" w:lastRow="0" w:noHBand="0" w:noVBand="1" w:val="04A0"/>
      </w:tblPr>
      <w:tblGrid>
        <w:gridCol w:w="259"/>
        <w:gridCol w:w="8381"/>
      </w:tblGrid>
      <w:tr>
        <w:tc>
          <w:tcPr>
            <w:tcW w:type="dxa" w:w="4680"/>
            <w:tcBorders>
              <w:top w:val="nil"/>
              <w:left w:val="nil"/>
              <w:bottom w:val="nil"/>
              <w:right w:val="nil"/>
              <w:insideH w:val="nil"/>
              <w:insideV w:val="nil"/>
            </w:tcBorders>
            <w:shd w:val="clear" w:color="auto" w:fill="2E75B6"/>
          </w:tcPr>
          <w:p/>
        </w:tc>
        <w:tc>
          <w:tcPr>
            <w:tcW w:type="dxa" w:w="4680"/>
            <w:shd w:val="clear" w:color="auto" w:fill="F2F2F2"/>
          </w:tcPr>
          <w:p>
            <w:pPr>
              <w:spacing w:before="60" w:after="60"/>
              <w:ind w:left="120"/>
              <w:jc w:val="left"/>
            </w:pPr>
            <w:r>
              <w:rPr>
                <w:rFonts w:ascii="Calibri" w:hAnsi="Calibri"/>
                <w:b/>
                <w:color w:val="2E75B6"/>
                <w:sz w:val="20"/>
              </w:rPr>
              <w:t xml:space="preserve">SLA:  </w:t>
            </w:r>
            <w:r>
              <w:rPr>
                <w:rFonts w:ascii="Calibri" w:hAnsi="Calibri"/>
                <w:color w:val="0D0D0D"/>
                <w:sz w:val="20"/>
              </w:rPr>
              <w:t>Maximum production downtime from write freeze to RDS restored: 120–240 minutes.</w:t>
            </w:r>
          </w:p>
        </w:tc>
      </w:tr>
    </w:tbl>
    <w:p/>
    <w:p>
      <w:pPr>
        <w:pStyle w:val="Heading1"/>
        <w:shd w:val="clear" w:color="auto" w:fill="1F497D"/>
        <w:spacing w:before="120" w:after="120"/>
        <w:ind w:left="180"/>
      </w:pPr>
      <w:r>
        <w:rPr>
          <w:rFonts w:ascii="Calibri" w:hAnsi="Calibri"/>
          <w:b/>
          <w:color w:val="FFFFFF"/>
          <w:sz w:val="32"/>
        </w:rPr>
        <w:t>4. Diagram B — Production High-Availability Architecture (Multi-AZ)</w:t>
      </w:r>
    </w:p>
    <w:p>
      <w:pPr>
        <w:spacing w:before="40" w:after="80"/>
      </w:pPr>
      <w:r>
        <w:rPr>
          <w:rFonts w:ascii="Calibri" w:hAnsi="Calibri"/>
          <w:color w:val="0D0D0D"/>
          <w:sz w:val="20"/>
        </w:rPr>
        <w:t>Amazon RDS for SQL Server 2022 in Multi-AZ mode provides synchronous replication between a Primary instance and an RDS-managed Standby instance in a different Availability Zone within the same AWS Region (US-West). This replaces the existing Always On Availability Group on EC2.</w:t>
      </w:r>
    </w:p>
    <w:p>
      <w:pPr>
        <w:spacing w:before="120" w:after="40"/>
      </w:pPr>
      <w:r>
        <w:rPr>
          <w:rFonts w:ascii="Calibri" w:hAnsi="Calibri"/>
          <w:b/>
          <w:color w:val="1F497D"/>
          <w:sz w:val="20"/>
        </w:rPr>
        <w:t>Figure B1 – Production Multi-AZ Architecture</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w:t>
            </w:r>
          </w:p>
          <w:p>
            <w:pPr>
              <w:spacing w:before="0" w:after="0" w:line="240" w:lineRule="auto"/>
              <w:ind w:left="120"/>
            </w:pPr>
            <w:r>
              <w:rPr>
                <w:rFonts w:ascii="Courier New" w:hAnsi="Courier New"/>
                <w:color w:val="C8E6C9"/>
                <w:sz w:val="16"/>
              </w:rPr>
              <w:t>│                  AWS US-WEST REGION  (Production VPC)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Availability Zone A (Primary)          Availability Zone B (Standby)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  RDS SQL Server 2022     │           │  RDS SQL Server 2022 (Multi- │  │    │</w:t>
            </w:r>
          </w:p>
          <w:p>
            <w:pPr>
              <w:spacing w:before="0" w:after="0" w:line="240" w:lineRule="auto"/>
              <w:ind w:left="120"/>
            </w:pPr>
            <w:r>
              <w:rPr>
                <w:rFonts w:ascii="Courier New" w:hAnsi="Courier New"/>
                <w:color w:val="C8E6C9"/>
                <w:sz w:val="16"/>
              </w:rPr>
              <w:t>│   │  │  Primary Instance        │           │  AZ Standby — Managed)       │  │    │</w:t>
            </w:r>
          </w:p>
          <w:p>
            <w:pPr>
              <w:spacing w:before="0" w:after="0" w:line="240" w:lineRule="auto"/>
              <w:ind w:left="120"/>
            </w:pPr>
            <w:r>
              <w:rPr>
                <w:rFonts w:ascii="Courier New" w:hAnsi="Courier New"/>
                <w:color w:val="C8E6C9"/>
                <w:sz w:val="16"/>
              </w:rPr>
              <w:t>│   │  │  db.r6i.16xlarge         │◄─sync────►│  db.r6i.16xlarge             │  │    │</w:t>
            </w:r>
          </w:p>
          <w:p>
            <w:pPr>
              <w:spacing w:before="0" w:after="0" w:line="240" w:lineRule="auto"/>
              <w:ind w:left="120"/>
            </w:pPr>
            <w:r>
              <w:rPr>
                <w:rFonts w:ascii="Courier New" w:hAnsi="Courier New"/>
                <w:color w:val="C8E6C9"/>
                <w:sz w:val="16"/>
              </w:rPr>
              <w:t>│   │  │  64 vCPU / 512 GiB RAM   │           │  64 vCPU / 512 GiB RAM       │  │    │</w:t>
            </w:r>
          </w:p>
          <w:p>
            <w:pPr>
              <w:spacing w:before="0" w:after="0" w:line="240" w:lineRule="auto"/>
              <w:ind w:left="120"/>
            </w:pPr>
            <w:r>
              <w:rPr>
                <w:rFonts w:ascii="Courier New" w:hAnsi="Courier New"/>
                <w:color w:val="C8E6C9"/>
                <w:sz w:val="16"/>
              </w:rPr>
              <w:t>│   │  │  gp3 13 TB  (3K IOPS)   │           │  gp3 13 TB  (3K IOPS)        │  │    │</w:t>
            </w:r>
          </w:p>
          <w:p>
            <w:pPr>
              <w:spacing w:before="0" w:after="0" w:line="240" w:lineRule="auto"/>
              <w:ind w:left="120"/>
            </w:pPr>
            <w:r>
              <w:rPr>
                <w:rFonts w:ascii="Courier New" w:hAnsi="Courier New"/>
                <w:color w:val="C8E6C9"/>
                <w:sz w:val="16"/>
              </w:rPr>
              <w:t>│   │  │  KMS CMK encrypted       │           │  KMS CMK encrypted           │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RDS Endpoint (DNS)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RDS Proxy  (×3 proxies for connection pooling)                             │   │</w:t>
            </w:r>
          </w:p>
          <w:p>
            <w:pPr>
              <w:spacing w:before="0" w:after="0" w:line="240" w:lineRule="auto"/>
              <w:ind w:left="120"/>
            </w:pPr>
            <w:r>
              <w:rPr>
                <w:rFonts w:ascii="Courier New" w:hAnsi="Courier New"/>
                <w:color w:val="C8E6C9"/>
                <w:sz w:val="16"/>
              </w:rPr>
              <w:t>│   │  Multiplexes 1000s of app connections → &lt;5 RDS connections each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TCP 1433 (TLS 1.2+)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Application Servers / App Layer   │                                           │</w:t>
            </w:r>
          </w:p>
          <w:p>
            <w:pPr>
              <w:spacing w:before="0" w:after="0" w:line="240" w:lineRule="auto"/>
              <w:ind w:left="120"/>
            </w:pPr>
            <w:r>
              <w:rPr>
                <w:rFonts w:ascii="Courier New" w:hAnsi="Courier New"/>
                <w:color w:val="C8E6C9"/>
                <w:sz w:val="16"/>
              </w:rPr>
              <w:t>│   │  (Private Subnet, Security Group)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w:t>
            </w:r>
          </w:p>
        </w:tc>
      </w:tr>
    </w:tbl>
    <w:p/>
    <w:p>
      <w:pPr>
        <w:pStyle w:val="Heading3"/>
        <w:spacing w:before="120" w:after="40"/>
      </w:pPr>
      <w:r>
        <w:rPr>
          <w:rFonts w:ascii="Calibri" w:hAnsi="Calibri"/>
          <w:b/>
          <w:color w:val="2E75B6"/>
          <w:sz w:val="22"/>
        </w:rPr>
        <w:t>4.1 Primary RDS Instance</w:t>
      </w:r>
    </w:p>
    <w:p>
      <w:pPr>
        <w:spacing w:before="40" w:after="80"/>
      </w:pPr>
      <w:r>
        <w:rPr>
          <w:rFonts w:ascii="Calibri" w:hAnsi="Calibri"/>
          <w:color w:val="0D0D0D"/>
          <w:sz w:val="20"/>
        </w:rPr>
        <w:t>The primary RDS instance handles all read/write workloads. Key configuration parameters: max server memory = 496 GB (leaving 16 GB for OS buffer), MAXDOP = 4 for OLTP, cost threshold for parallelism = 50, Query Store enabled, tempdb configured with 8 files at equal size. Storage autoscaling is enabled with a 15 TB ceiling.</w:t>
      </w:r>
    </w:p>
    <w:p>
      <w:pPr>
        <w:pStyle w:val="Heading3"/>
        <w:spacing w:before="120" w:after="40"/>
      </w:pPr>
      <w:r>
        <w:rPr>
          <w:rFonts w:ascii="Calibri" w:hAnsi="Calibri"/>
          <w:b/>
          <w:color w:val="2E75B6"/>
          <w:sz w:val="22"/>
        </w:rPr>
        <w:t>4.2 Multi-AZ Standby (RDS-Managed)</w:t>
      </w:r>
    </w:p>
    <w:p>
      <w:pPr>
        <w:spacing w:before="40" w:after="80"/>
      </w:pPr>
      <w:r>
        <w:rPr>
          <w:rFonts w:ascii="Calibri" w:hAnsi="Calibri"/>
          <w:color w:val="0D0D0D"/>
          <w:sz w:val="20"/>
        </w:rPr>
        <w:t>RDS automatically provisions and manages a synchronous standby in a second AZ. Writes are committed to both AZs before the primary acknowledges the transaction. Failover is automatic (typically 60–120 seconds) via DNS flip of the RDS endpoint. The standby is not directly accessible for reads (unlike a read replica) — it is purely for HA.</w:t>
      </w:r>
    </w:p>
    <w:p>
      <w:pPr>
        <w:pStyle w:val="Heading3"/>
        <w:spacing w:before="120" w:after="40"/>
      </w:pPr>
      <w:r>
        <w:rPr>
          <w:rFonts w:ascii="Calibri" w:hAnsi="Calibri"/>
          <w:b/>
          <w:color w:val="2E75B6"/>
          <w:sz w:val="22"/>
        </w:rPr>
        <w:t>4.3 RDS Proxy</w:t>
      </w:r>
    </w:p>
    <w:p>
      <w:pPr>
        <w:spacing w:before="40" w:after="80"/>
      </w:pPr>
      <w:r>
        <w:rPr>
          <w:rFonts w:ascii="Calibri" w:hAnsi="Calibri"/>
          <w:color w:val="0D0D0D"/>
          <w:sz w:val="20"/>
        </w:rPr>
        <w:t>Three RDS Proxy instances sit in front of the RDS cluster endpoint. RDS Proxy maintains a pool of persistent database connections, dramatically reducing connection overhead for applications with many short-lived connections. During failover, RDS Proxy automatically re-routes connections to the new primary without application reconnect logic. IAM authentication is enforced on the proxy endpoints.</w:t>
      </w:r>
    </w:p>
    <w:p>
      <w:pPr>
        <w:pStyle w:val="Heading3"/>
        <w:spacing w:before="120" w:after="40"/>
      </w:pPr>
      <w:r>
        <w:rPr>
          <w:rFonts w:ascii="Calibri" w:hAnsi="Calibri"/>
          <w:b/>
          <w:color w:val="2E75B6"/>
          <w:sz w:val="22"/>
        </w:rPr>
        <w:t>4.4 Automated Failover Behaviour</w:t>
      </w:r>
    </w:p>
    <w:p>
      <w:pPr>
        <w:pStyle w:val="ListBullet"/>
        <w:spacing w:before="20" w:after="20"/>
      </w:pPr>
      <w:r>
        <w:rPr>
          <w:rFonts w:ascii="Calibri" w:hAnsi="Calibri"/>
          <w:color w:val="0D0D0D"/>
          <w:sz w:val="20"/>
        </w:rPr>
        <w:t>RDS detects primary instance failure (hardware, storage, OS crash, or AZ outage).</w:t>
      </w:r>
    </w:p>
    <w:p>
      <w:pPr>
        <w:pStyle w:val="ListBullet"/>
        <w:spacing w:before="20" w:after="20"/>
      </w:pPr>
      <w:r>
        <w:rPr>
          <w:rFonts w:ascii="Calibri" w:hAnsi="Calibri"/>
          <w:color w:val="0D0D0D"/>
          <w:sz w:val="20"/>
        </w:rPr>
        <w:t>RDS promotes the Multi-AZ standby to primary — DNS TTL forces endpoint refresh within ~30 seconds.</w:t>
      </w:r>
    </w:p>
    <w:p>
      <w:pPr>
        <w:pStyle w:val="ListBullet"/>
        <w:spacing w:before="20" w:after="20"/>
      </w:pPr>
      <w:r>
        <w:rPr>
          <w:rFonts w:ascii="Calibri" w:hAnsi="Calibri"/>
          <w:color w:val="0D0D0D"/>
          <w:sz w:val="20"/>
        </w:rPr>
        <w:t>RDS Proxy absorbs connection retries and queues them during the failover gap.</w:t>
      </w:r>
    </w:p>
    <w:p>
      <w:pPr>
        <w:pStyle w:val="ListBullet"/>
        <w:spacing w:before="20" w:after="20"/>
      </w:pPr>
      <w:r>
        <w:rPr>
          <w:rFonts w:ascii="Calibri" w:hAnsi="Calibri"/>
          <w:color w:val="0D0D0D"/>
          <w:sz w:val="20"/>
        </w:rPr>
        <w:t>CloudWatch alarm 'rds-failover-event' fires; SNS notifies the on-call team.</w:t>
      </w:r>
    </w:p>
    <w:p>
      <w:pPr>
        <w:pStyle w:val="ListBullet"/>
        <w:spacing w:before="20" w:after="20"/>
      </w:pPr>
      <w:r>
        <w:rPr>
          <w:rFonts w:ascii="Calibri" w:hAnsi="Calibri"/>
          <w:color w:val="0D0D0D"/>
          <w:sz w:val="20"/>
        </w:rPr>
        <w:t>RDS automatically provisions a new standby in the original AZ to restore Multi-AZ protection.</w:t>
      </w:r>
    </w:p>
    <w:p>
      <w:pPr>
        <w:pStyle w:val="Heading1"/>
        <w:shd w:val="clear" w:color="auto" w:fill="1F497D"/>
        <w:spacing w:before="120" w:after="120"/>
        <w:ind w:left="180"/>
      </w:pPr>
      <w:r>
        <w:rPr>
          <w:rFonts w:ascii="Calibri" w:hAnsi="Calibri"/>
          <w:b/>
          <w:color w:val="FFFFFF"/>
          <w:sz w:val="32"/>
        </w:rPr>
        <w:t>5. Diagram C — Disaster Recovery Architecture (Multi-Region)</w:t>
      </w:r>
    </w:p>
    <w:p>
      <w:pPr>
        <w:spacing w:before="40" w:after="80"/>
      </w:pPr>
      <w:r>
        <w:rPr>
          <w:rFonts w:ascii="Calibri" w:hAnsi="Calibri"/>
          <w:color w:val="0D0D0D"/>
          <w:sz w:val="20"/>
        </w:rPr>
        <w:t>In the event of a full AWS US-West regional failure, GGA requires a warm standby in a secondary AWS region. The DR architecture uses asynchronous RDS cross-region snapshot copies and optionally a DMS-driven asynchronous replica for near-real-time RPO.</w:t>
      </w:r>
    </w:p>
    <w:p>
      <w:pPr>
        <w:spacing w:before="120" w:after="40"/>
      </w:pPr>
      <w:r>
        <w:rPr>
          <w:rFonts w:ascii="Calibri" w:hAnsi="Calibri"/>
          <w:b/>
          <w:color w:val="1F497D"/>
          <w:sz w:val="20"/>
        </w:rPr>
        <w:t>Figure C1 – Multi-Region DR Architecture</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AWS US-WEST (Primary Region)        │        │  AWS US-EAST (DR Region)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RDS Primary + Multi-AZ      │   │        │  │  RDS DR Instance             │   │</w:t>
            </w:r>
          </w:p>
          <w:p>
            <w:pPr>
              <w:spacing w:before="0" w:after="0" w:line="240" w:lineRule="auto"/>
              <w:ind w:left="120"/>
            </w:pPr>
            <w:r>
              <w:rPr>
                <w:rFonts w:ascii="Courier New" w:hAnsi="Courier New"/>
                <w:color w:val="C8E6C9"/>
                <w:sz w:val="16"/>
              </w:rPr>
              <w:t>│  │  SQL Server 2022             │───┼──async─┼──►  SQL Server 2022             │   │</w:t>
            </w:r>
          </w:p>
          <w:p>
            <w:pPr>
              <w:spacing w:before="0" w:after="0" w:line="240" w:lineRule="auto"/>
              <w:ind w:left="120"/>
            </w:pPr>
            <w:r>
              <w:rPr>
                <w:rFonts w:ascii="Courier New" w:hAnsi="Courier New"/>
                <w:color w:val="C8E6C9"/>
                <w:sz w:val="16"/>
              </w:rPr>
              <w:t>│  │  db.r6i.16xlarge             │   │  repl  │  │  db.r6i.16xlarge             │   │</w:t>
            </w:r>
          </w:p>
          <w:p>
            <w:pPr>
              <w:spacing w:before="0" w:after="0" w:line="240" w:lineRule="auto"/>
              <w:ind w:left="120"/>
            </w:pPr>
            <w:r>
              <w:rPr>
                <w:rFonts w:ascii="Courier New" w:hAnsi="Courier New"/>
                <w:color w:val="C8E6C9"/>
                <w:sz w:val="16"/>
              </w:rPr>
              <w:t>│  └──────────────┬───────────────┘   │        │  │  (Warm Standby)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        │                                      │</w:t>
            </w:r>
          </w:p>
          <w:p>
            <w:pPr>
              <w:spacing w:before="0" w:after="0" w:line="240" w:lineRule="auto"/>
              <w:ind w:left="120"/>
            </w:pPr>
            <w:r>
              <w:rPr>
                <w:rFonts w:ascii="Courier New" w:hAnsi="Courier New"/>
                <w:color w:val="C8E6C9"/>
                <w:sz w:val="16"/>
              </w:rPr>
              <w:t>│  │  AWS Backup Service           │   │        │  ┌──────────────────────────────┐   │</w:t>
            </w:r>
          </w:p>
          <w:p>
            <w:pPr>
              <w:spacing w:before="0" w:after="0" w:line="240" w:lineRule="auto"/>
              <w:ind w:left="120"/>
            </w:pPr>
            <w:r>
              <w:rPr>
                <w:rFonts w:ascii="Courier New" w:hAnsi="Courier New"/>
                <w:color w:val="C8E6C9"/>
                <w:sz w:val="16"/>
              </w:rPr>
              <w:t>│  │  Automated daily snapshots    │───┼──copy──┼──►  Cross-Region Snapshot Copy  │   │</w:t>
            </w:r>
          </w:p>
          <w:p>
            <w:pPr>
              <w:spacing w:before="0" w:after="0" w:line="240" w:lineRule="auto"/>
              <w:ind w:left="120"/>
            </w:pPr>
            <w:r>
              <w:rPr>
                <w:rFonts w:ascii="Courier New" w:hAnsi="Courier New"/>
                <w:color w:val="C8E6C9"/>
                <w:sz w:val="16"/>
              </w:rPr>
              <w:t>│  │  Point-in-time (PITR 35 days) │   │        │  │  DR Backup Vault (KMS CMK)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Rubrik Integration           │   │        │  │  Route 53 Health Check       │   │</w:t>
            </w:r>
          </w:p>
          <w:p>
            <w:pPr>
              <w:spacing w:before="0" w:after="0" w:line="240" w:lineRule="auto"/>
              <w:ind w:left="120"/>
            </w:pPr>
            <w:r>
              <w:rPr>
                <w:rFonts w:ascii="Courier New" w:hAnsi="Courier New"/>
                <w:color w:val="C8E6C9"/>
                <w:sz w:val="16"/>
              </w:rPr>
              <w:t>│  │  Backup visibility &amp;          │   │        │  │  + DNS failover policy       │   │</w:t>
            </w:r>
          </w:p>
          <w:p>
            <w:pPr>
              <w:spacing w:before="0" w:after="0" w:line="240" w:lineRule="auto"/>
              <w:ind w:left="120"/>
            </w:pPr>
            <w:r>
              <w:rPr>
                <w:rFonts w:ascii="Courier New" w:hAnsi="Courier New"/>
                <w:color w:val="C8E6C9"/>
                <w:sz w:val="16"/>
              </w:rPr>
              <w:t>│  │  Compliance reporting         │   │        │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w:t>
            </w:r>
          </w:p>
        </w:tc>
      </w:tr>
    </w:tbl>
    <w:p/>
    <w:p>
      <w:pPr>
        <w:pStyle w:val="Heading3"/>
        <w:spacing w:before="120" w:after="40"/>
      </w:pPr>
      <w:r>
        <w:rPr>
          <w:rFonts w:ascii="Calibri" w:hAnsi="Calibri"/>
          <w:b/>
          <w:color w:val="2E75B6"/>
          <w:sz w:val="22"/>
        </w:rPr>
        <w:t>5.1 Cross-Region Replication Mechanisms</w:t>
      </w:r>
    </w:p>
    <w:p>
      <w:pPr>
        <w:spacing w:before="40" w:after="80"/>
      </w:pPr>
      <w:r>
        <w:rPr>
          <w:rFonts w:ascii="Calibri" w:hAnsi="Calibri"/>
          <w:color w:val="0D0D0D"/>
          <w:sz w:val="20"/>
        </w:rPr>
        <w:t>Two complementary mechanisms provide DR coverage:</w:t>
      </w:r>
    </w:p>
    <w:p>
      <w:pPr>
        <w:pStyle w:val="ListBullet"/>
        <w:spacing w:before="20" w:after="20"/>
      </w:pPr>
      <w:r>
        <w:rPr>
          <w:rFonts w:ascii="Calibri" w:hAnsi="Calibri"/>
          <w:color w:val="0D0D0D"/>
          <w:sz w:val="20"/>
        </w:rPr>
        <w:t>AWS Backup Cross-Region Copy: Daily automated snapshots from the primary region are copied to the DR Backup Vault in the secondary region. Encryption is preserved using a DR-region KMS CMK. Retention: 35 days PITR + 90-day daily snapshots. RPO for snapshot-based recovery: up to 24 hours.</w:t>
      </w:r>
    </w:p>
    <w:p>
      <w:pPr>
        <w:pStyle w:val="ListBullet"/>
        <w:spacing w:before="20" w:after="20"/>
      </w:pPr>
      <w:r>
        <w:rPr>
          <w:rFonts w:ascii="Calibri" w:hAnsi="Calibri"/>
          <w:color w:val="0D0D0D"/>
          <w:sz w:val="20"/>
        </w:rPr>
        <w:t>Asynchronous DMS CDC Replica (optional — activated if RPO &lt; 1 hour is required): A second DMS task streams ongoing CDC changes from the primary RDS instance to the DR RDS instance in the secondary region. Replication lag is monitored via CloudWatch; alert fires if lag exceeds 15 minutes.</w:t>
      </w:r>
    </w:p>
    <w:p>
      <w:pPr>
        <w:pStyle w:val="Heading3"/>
        <w:spacing w:before="120" w:after="40"/>
      </w:pPr>
      <w:r>
        <w:rPr>
          <w:rFonts w:ascii="Calibri" w:hAnsi="Calibri"/>
          <w:b/>
          <w:color w:val="2E75B6"/>
          <w:sz w:val="22"/>
        </w:rPr>
        <w:t>5.2 DR RDS Instance Configuration</w:t>
      </w:r>
    </w:p>
    <w:p>
      <w:pPr>
        <w:spacing w:before="40" w:after="80"/>
      </w:pPr>
      <w:r>
        <w:rPr>
          <w:rFonts w:ascii="Calibri" w:hAnsi="Calibri"/>
          <w:color w:val="0D0D0D"/>
          <w:sz w:val="20"/>
        </w:rPr>
        <w:t>The DR instance (db.r6i.16xlarge) mirrors the primary in specification to ensure performance parity on failover. It runs in a stopped / warm-standby state, provisioned but not serving traffic. Storage is pre-allocated (13 TB gp3) to avoid restore delay on DR activation.</w:t>
      </w:r>
    </w:p>
    <w:p>
      <w:pPr>
        <w:pStyle w:val="Heading3"/>
        <w:spacing w:before="120" w:after="40"/>
      </w:pPr>
      <w:r>
        <w:rPr>
          <w:rFonts w:ascii="Calibri" w:hAnsi="Calibri"/>
          <w:b/>
          <w:color w:val="2E75B6"/>
          <w:sz w:val="22"/>
        </w:rPr>
        <w:t>5.3 DR Failover Runbook (High-Level)</w:t>
      </w:r>
    </w:p>
    <w:p>
      <w:pPr>
        <w:pStyle w:val="ListBullet"/>
        <w:spacing w:before="20" w:after="20"/>
      </w:pPr>
      <w:r>
        <w:rPr>
          <w:rFonts w:ascii="Calibri" w:hAnsi="Calibri"/>
          <w:color w:val="0D0D0D"/>
          <w:sz w:val="20"/>
        </w:rPr>
        <w:t>1. Declare DR event: On-call engineer and GGA CTO confirm regional failure; DR declared via RAID log.</w:t>
      </w:r>
    </w:p>
    <w:p>
      <w:pPr>
        <w:pStyle w:val="ListBullet"/>
        <w:spacing w:before="20" w:after="20"/>
      </w:pPr>
      <w:r>
        <w:rPr>
          <w:rFonts w:ascii="Calibri" w:hAnsi="Calibri"/>
          <w:color w:val="0D0D0D"/>
          <w:sz w:val="20"/>
        </w:rPr>
        <w:t>2. Restore or promote: If asynchronous replica is current: promote DR RDS to standalone primary. If using snapshots: restore latest cross-region snapshot to a new RDS instance in the DR region.</w:t>
      </w:r>
    </w:p>
    <w:p>
      <w:pPr>
        <w:pStyle w:val="ListBullet"/>
        <w:spacing w:before="20" w:after="20"/>
      </w:pPr>
      <w:r>
        <w:rPr>
          <w:rFonts w:ascii="Calibri" w:hAnsi="Calibri"/>
          <w:color w:val="0D0D0D"/>
          <w:sz w:val="20"/>
        </w:rPr>
        <w:t>3. DNS cutover: Route 53 health check detects primary region failure and automatically flips CNAME to DR endpoint (TTL 60 s).</w:t>
      </w:r>
    </w:p>
    <w:p>
      <w:pPr>
        <w:pStyle w:val="ListBullet"/>
        <w:spacing w:before="20" w:after="20"/>
      </w:pPr>
      <w:r>
        <w:rPr>
          <w:rFonts w:ascii="Calibri" w:hAnsi="Calibri"/>
          <w:color w:val="0D0D0D"/>
          <w:sz w:val="20"/>
        </w:rPr>
        <w:t>4. App validation: Application teams run smoke tests against DR endpoint.</w:t>
      </w:r>
    </w:p>
    <w:p>
      <w:pPr>
        <w:pStyle w:val="ListBullet"/>
        <w:spacing w:before="20" w:after="20"/>
      </w:pPr>
      <w:r>
        <w:rPr>
          <w:rFonts w:ascii="Calibri" w:hAnsi="Calibri"/>
          <w:color w:val="0D0D0D"/>
          <w:sz w:val="20"/>
        </w:rPr>
        <w:t>5. Communicate: GGA communicates RTO status to business stakeholders.</w:t>
      </w:r>
    </w:p>
    <w:p>
      <w:pPr>
        <w:pStyle w:val="ListBullet"/>
        <w:spacing w:before="20" w:after="20"/>
      </w:pPr>
      <w:r>
        <w:rPr>
          <w:rFonts w:ascii="Calibri" w:hAnsi="Calibri"/>
          <w:color w:val="0D0D0D"/>
          <w:sz w:val="20"/>
        </w:rPr>
        <w:t>6. Re-establish DR: Once primary region recovers, reverse-replicate data and restore primary + DR topology.</w:t>
      </w:r>
    </w:p>
    <w:tbl>
      <w:tblPr>
        <w:tblStyle w:val="TableGrid"/>
        <w:tblW w:type="auto" w:w="0"/>
        <w:jc w:val="left"/>
        <w:tblLook w:firstColumn="1" w:firstRow="1" w:lastColumn="0" w:lastRow="0" w:noHBand="0" w:noVBand="1" w:val="04A0"/>
      </w:tblPr>
      <w:tblGrid>
        <w:gridCol w:w="3120"/>
        <w:gridCol w:w="3120"/>
        <w:gridCol w:w="3120"/>
      </w:tblGrid>
      <w:tr>
        <w:tc>
          <w:tcPr>
            <w:tcW w:type="dxa" w:w="259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Parameter</w:t>
            </w:r>
          </w:p>
        </w:tc>
        <w:tc>
          <w:tcPr>
            <w:tcW w:type="dxa" w:w="288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Target</w:t>
            </w:r>
          </w:p>
        </w:tc>
        <w:tc>
          <w:tcPr>
            <w:tcW w:type="dxa" w:w="345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Mechanism</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RPO (Recovery Point Objective)</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&lt; 1 hour (DMS CDC) / &lt; 24 hrs (snapshot)</w:t>
            </w:r>
          </w:p>
        </w:tc>
        <w:tc>
          <w:tcPr>
            <w:tcW w:type="dxa" w:w="345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DMS async CDC or daily cross-region snapshot copy</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RTO (Recovery Time Objective)</w:t>
            </w:r>
          </w:p>
        </w:tc>
        <w:tc>
          <w:tcPr>
            <w:tcW w:type="dxa" w:w="288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&lt; 4 hours</w:t>
            </w:r>
          </w:p>
        </w:tc>
        <w:tc>
          <w:tcPr>
            <w:tcW w:type="dxa" w:w="345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Pre-provisioned warm DR instance + Route 53 DNS flip</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Backup Retention</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35 days PITR + 90-day daily</w:t>
            </w:r>
          </w:p>
        </w:tc>
        <w:tc>
          <w:tcPr>
            <w:tcW w:type="dxa" w:w="345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Backup policy + Rubrik governance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DR Test Frequency</w:t>
            </w:r>
          </w:p>
        </w:tc>
        <w:tc>
          <w:tcPr>
            <w:tcW w:type="dxa" w:w="288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Quarterly</w:t>
            </w:r>
          </w:p>
        </w:tc>
        <w:tc>
          <w:tcPr>
            <w:tcW w:type="dxa" w:w="345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Restore to isolated sandbox; documented runbook</w:t>
            </w:r>
          </w:p>
        </w:tc>
      </w:tr>
    </w:tbl>
    <w:p/>
    <w:p>
      <w:pPr>
        <w:pStyle w:val="Heading1"/>
        <w:shd w:val="clear" w:color="auto" w:fill="1F497D"/>
        <w:spacing w:before="120" w:after="120"/>
        <w:ind w:left="180"/>
      </w:pPr>
      <w:r>
        <w:rPr>
          <w:rFonts w:ascii="Calibri" w:hAnsi="Calibri"/>
          <w:b/>
          <w:color w:val="FFFFFF"/>
          <w:sz w:val="32"/>
        </w:rPr>
        <w:t>6. Diagram D — Non-Production Environment Layout</w:t>
      </w:r>
    </w:p>
    <w:p>
      <w:pPr>
        <w:spacing w:before="40" w:after="80"/>
      </w:pPr>
      <w:r>
        <w:rPr>
          <w:rFonts w:ascii="Calibri" w:hAnsi="Calibri"/>
          <w:color w:val="0D0D0D"/>
          <w:sz w:val="20"/>
        </w:rPr>
        <w:t>All non-production environments (DEV, QA, INT/UAT) reside in the same AWS US-West Region as production but in isolated VPC subnets with separate security groups, parameter groups, and KMS keys. Non-production instances are sized smaller to reduce cost; INT/UAT has Multi-AZ enabled to mirror production behaviour for UAT testing.</w:t>
      </w:r>
    </w:p>
    <w:p>
      <w:pPr>
        <w:spacing w:before="120" w:after="40"/>
      </w:pPr>
      <w:r>
        <w:rPr>
          <w:rFonts w:ascii="Calibri" w:hAnsi="Calibri"/>
          <w:b/>
          <w:color w:val="1F497D"/>
          <w:sz w:val="20"/>
        </w:rPr>
        <w:t>Figure D1 – Non-Production Environment Layout</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w:t>
            </w:r>
          </w:p>
          <w:p>
            <w:pPr>
              <w:spacing w:before="0" w:after="0" w:line="240" w:lineRule="auto"/>
              <w:ind w:left="120"/>
            </w:pPr>
            <w:r>
              <w:rPr>
                <w:rFonts w:ascii="Courier New" w:hAnsi="Courier New"/>
                <w:color w:val="C8E6C9"/>
                <w:sz w:val="16"/>
              </w:rPr>
              <w:t>│              AWS US-WEST REGION  (Non-Prod VPC)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  ┌───────────────────────┐  │</w:t>
            </w:r>
          </w:p>
          <w:p>
            <w:pPr>
              <w:spacing w:before="0" w:after="0" w:line="240" w:lineRule="auto"/>
              <w:ind w:left="120"/>
            </w:pPr>
            <w:r>
              <w:rPr>
                <w:rFonts w:ascii="Courier New" w:hAnsi="Courier New"/>
                <w:color w:val="C8E6C9"/>
                <w:sz w:val="16"/>
              </w:rPr>
              <w:t>│   │  DEV RDS           │  │  QA  RDS           │  │  INT / UAT RDS        │  │</w:t>
            </w:r>
          </w:p>
          <w:p>
            <w:pPr>
              <w:spacing w:before="0" w:after="0" w:line="240" w:lineRule="auto"/>
              <w:ind w:left="120"/>
            </w:pPr>
            <w:r>
              <w:rPr>
                <w:rFonts w:ascii="Courier New" w:hAnsi="Courier New"/>
                <w:color w:val="C8E6C9"/>
                <w:sz w:val="16"/>
              </w:rPr>
              <w:t>│   │  SQL Server 2022   │  │  SQL Server 2022   │  │  SQL Server 2022      │  │</w:t>
            </w:r>
          </w:p>
          <w:p>
            <w:pPr>
              <w:spacing w:before="0" w:after="0" w:line="240" w:lineRule="auto"/>
              <w:ind w:left="120"/>
            </w:pPr>
            <w:r>
              <w:rPr>
                <w:rFonts w:ascii="Courier New" w:hAnsi="Courier New"/>
                <w:color w:val="C8E6C9"/>
                <w:sz w:val="16"/>
              </w:rPr>
              <w:t>│   │  db.r5.4xlarge     │  │  db.r5.4xlarge     │  │  db.r6i.8xlarge       │  │</w:t>
            </w:r>
          </w:p>
          <w:p>
            <w:pPr>
              <w:spacing w:before="0" w:after="0" w:line="240" w:lineRule="auto"/>
              <w:ind w:left="120"/>
            </w:pPr>
            <w:r>
              <w:rPr>
                <w:rFonts w:ascii="Courier New" w:hAnsi="Courier New"/>
                <w:color w:val="C8E6C9"/>
                <w:sz w:val="16"/>
              </w:rPr>
              <w:t>│   │  21 DBs / 2.13 TB  │  │  21 DBs / 3.11 TB  │  │  13 DBs / 1.30 TB    │  │</w:t>
            </w:r>
          </w:p>
          <w:p>
            <w:pPr>
              <w:spacing w:before="0" w:after="0" w:line="240" w:lineRule="auto"/>
              <w:ind w:left="120"/>
            </w:pPr>
            <w:r>
              <w:rPr>
                <w:rFonts w:ascii="Courier New" w:hAnsi="Courier New"/>
                <w:color w:val="C8E6C9"/>
                <w:sz w:val="16"/>
              </w:rPr>
              <w:t>│   │  Single AZ         │  │  Single AZ         │  │  Multi-AZ enabled     │  │</w:t>
            </w:r>
          </w:p>
          <w:p>
            <w:pPr>
              <w:spacing w:before="0" w:after="0" w:line="240" w:lineRule="auto"/>
              <w:ind w:left="120"/>
            </w:pPr>
            <w:r>
              <w:rPr>
                <w:rFonts w:ascii="Courier New" w:hAnsi="Courier New"/>
                <w:color w:val="C8E6C9"/>
                <w:sz w:val="16"/>
              </w:rPr>
              <w:t>│   │  Dev SG            │  │  QA SG             │  │  INT SG               │  │</w:t>
            </w:r>
          </w:p>
          <w:p>
            <w:pPr>
              <w:spacing w:before="0" w:after="0" w:line="240" w:lineRule="auto"/>
              <w:ind w:left="120"/>
            </w:pPr>
            <w:r>
              <w:rPr>
                <w:rFonts w:ascii="Courier New" w:hAnsi="Courier New"/>
                <w:color w:val="C8E6C9"/>
                <w:sz w:val="16"/>
              </w:rPr>
              <w:t>│   └───────────────────┘  └───────────────────┘  └───────────────────────┘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Shared: Non-Prod DB Subnet Group  |  Non-Prod KMS CMK              │   │</w:t>
            </w:r>
          </w:p>
          <w:p>
            <w:pPr>
              <w:spacing w:before="0" w:after="0" w:line="240" w:lineRule="auto"/>
              <w:ind w:left="120"/>
            </w:pPr>
            <w:r>
              <w:rPr>
                <w:rFonts w:ascii="Courier New" w:hAnsi="Courier New"/>
                <w:color w:val="C8E6C9"/>
                <w:sz w:val="16"/>
              </w:rPr>
              <w:t>│   │  Parameter Group (non-prod)        |  CloudWatch (non-prod NS)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AWS DMS (r5.2xlarge)  — reused for DEV, QA, INT sequentially       │   │</w:t>
            </w:r>
          </w:p>
          <w:p>
            <w:pPr>
              <w:spacing w:before="0" w:after="0" w:line="240" w:lineRule="auto"/>
              <w:ind w:left="120"/>
            </w:pPr>
            <w:r>
              <w:rPr>
                <w:rFonts w:ascii="Courier New" w:hAnsi="Courier New"/>
                <w:color w:val="C8E6C9"/>
                <w:sz w:val="16"/>
              </w:rPr>
              <w:t>│   │  Full-Load only (no CDC for non-prod)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w:t>
            </w:r>
          </w:p>
        </w:tc>
      </w:tr>
    </w:tbl>
    <w:p/>
    <w:p>
      <w:pPr>
        <w:spacing w:before="40" w:after="80"/>
      </w:pPr>
      <w:r>
        <w:rPr>
          <w:rFonts w:ascii="Calibri" w:hAnsi="Calibri"/>
          <w:color w:val="0D0D0D"/>
          <w:sz w:val="20"/>
        </w:rPr>
        <w:t>Each non-production environment uses the same Terraform module as production but with environment-specific tfvars files (instance size, single vs. multi-AZ, retention period). This guarantees configuration consistency and repeatability across all waves before production cutover.</w:t>
      </w:r>
    </w:p>
    <w:p>
      <w:pPr>
        <w:pStyle w:val="Heading1"/>
        <w:shd w:val="clear" w:color="auto" w:fill="1F497D"/>
        <w:spacing w:before="120" w:after="120"/>
        <w:ind w:left="180"/>
      </w:pPr>
      <w:r>
        <w:rPr>
          <w:rFonts w:ascii="Calibri" w:hAnsi="Calibri"/>
          <w:b/>
          <w:color w:val="FFFFFF"/>
          <w:sz w:val="32"/>
        </w:rPr>
        <w:t>7. Diagram E — Monitoring &amp; Observability Stack</w:t>
      </w:r>
    </w:p>
    <w:p>
      <w:pPr>
        <w:spacing w:before="40" w:after="80"/>
      </w:pPr>
      <w:r>
        <w:rPr>
          <w:rFonts w:ascii="Calibri" w:hAnsi="Calibri"/>
          <w:color w:val="0D0D0D"/>
          <w:sz w:val="20"/>
        </w:rPr>
        <w:t>The monitoring architecture integrates multiple AWS-native services to provide end-to-end visibility into database health, replication status, query performance, and security posture.</w:t>
      </w:r>
    </w:p>
    <w:p>
      <w:pPr>
        <w:spacing w:before="120" w:after="40"/>
      </w:pPr>
      <w:r>
        <w:rPr>
          <w:rFonts w:ascii="Calibri" w:hAnsi="Calibri"/>
          <w:b/>
          <w:color w:val="1F497D"/>
          <w:sz w:val="20"/>
        </w:rPr>
        <w:t>Figure E1 – Monitoring &amp; Observability Stack</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w:t>
            </w:r>
          </w:p>
          <w:p>
            <w:pPr>
              <w:spacing w:before="0" w:after="0" w:line="240" w:lineRule="auto"/>
              <w:ind w:left="120"/>
            </w:pPr>
            <w:r>
              <w:rPr>
                <w:rFonts w:ascii="Courier New" w:hAnsi="Courier New"/>
                <w:color w:val="C8E6C9"/>
                <w:sz w:val="16"/>
              </w:rPr>
              <w:t>│                 MONITORING &amp; OBSERVABILITY PLANE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DATA SOURCES          │    │  AGGREGATION &amp; PROCESSING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RDS Enhanced Monitoring│───►  CloudWatch Metrics Namespace:        │   │</w:t>
            </w:r>
          </w:p>
          <w:p>
            <w:pPr>
              <w:spacing w:before="0" w:after="0" w:line="240" w:lineRule="auto"/>
              <w:ind w:left="120"/>
            </w:pPr>
            <w:r>
              <w:rPr>
                <w:rFonts w:ascii="Courier New" w:hAnsi="Courier New"/>
                <w:color w:val="C8E6C9"/>
                <w:sz w:val="16"/>
              </w:rPr>
              <w:t>│  │  (1-second granularity) │    │  AWS/RDS  |  AWS/DMS  |  Custom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RDS Performance Insights│──►  CloudWatch Logs:                     │   │</w:t>
            </w:r>
          </w:p>
          <w:p>
            <w:pPr>
              <w:spacing w:before="0" w:after="0" w:line="240" w:lineRule="auto"/>
              <w:ind w:left="120"/>
            </w:pPr>
            <w:r>
              <w:rPr>
                <w:rFonts w:ascii="Courier New" w:hAnsi="Courier New"/>
                <w:color w:val="C8E6C9"/>
                <w:sz w:val="16"/>
              </w:rPr>
              <w:t>│  │  (Query-level waits,    │    │  /aws/rds/instance/…/error           │   │</w:t>
            </w:r>
          </w:p>
          <w:p>
            <w:pPr>
              <w:spacing w:before="0" w:after="0" w:line="240" w:lineRule="auto"/>
              <w:ind w:left="120"/>
            </w:pPr>
            <w:r>
              <w:rPr>
                <w:rFonts w:ascii="Courier New" w:hAnsi="Courier New"/>
                <w:color w:val="C8E6C9"/>
                <w:sz w:val="16"/>
              </w:rPr>
              <w:t>│  │   top SQL, DB load)     │    │  /aws/rds/instance/…/agent           │   │</w:t>
            </w:r>
          </w:p>
          <w:p>
            <w:pPr>
              <w:spacing w:before="0" w:after="0" w:line="240" w:lineRule="auto"/>
              <w:ind w:left="120"/>
            </w:pPr>
            <w:r>
              <w:rPr>
                <w:rFonts w:ascii="Courier New" w:hAnsi="Courier New"/>
                <w:color w:val="C8E6C9"/>
                <w:sz w:val="16"/>
              </w:rPr>
              <w:t>│  │                        │    │  /aws/dms/tasks/…                    │   │</w:t>
            </w:r>
          </w:p>
          <w:p>
            <w:pPr>
              <w:spacing w:before="0" w:after="0" w:line="240" w:lineRule="auto"/>
              <w:ind w:left="120"/>
            </w:pPr>
            <w:r>
              <w:rPr>
                <w:rFonts w:ascii="Courier New" w:hAnsi="Courier New"/>
                <w:color w:val="C8E6C9"/>
                <w:sz w:val="16"/>
              </w:rPr>
              <w:t>│  │  DMS Task Metrics      │───►  CloudTrail (API audit)               │   │</w:t>
            </w:r>
          </w:p>
          <w:p>
            <w:pPr>
              <w:spacing w:before="0" w:after="0" w:line="240" w:lineRule="auto"/>
              <w:ind w:left="120"/>
            </w:pPr>
            <w:r>
              <w:rPr>
                <w:rFonts w:ascii="Courier New" w:hAnsi="Courier New"/>
                <w:color w:val="C8E6C9"/>
                <w:sz w:val="16"/>
              </w:rPr>
              <w:t>│  │  (lag, rows, errors)   │    │                                       │   │</w:t>
            </w:r>
          </w:p>
          <w:p>
            <w:pPr>
              <w:spacing w:before="0" w:after="0" w:line="240" w:lineRule="auto"/>
              <w:ind w:left="120"/>
            </w:pPr>
            <w:r>
              <w:rPr>
                <w:rFonts w:ascii="Courier New" w:hAnsi="Courier New"/>
                <w:color w:val="C8E6C9"/>
                <w:sz w:val="16"/>
              </w:rPr>
              <w:t>│  │                        │    └──────────────────┬────────────────────┘   │</w:t>
            </w:r>
          </w:p>
          <w:p>
            <w:pPr>
              <w:spacing w:before="0" w:after="0" w:line="240" w:lineRule="auto"/>
              <w:ind w:left="120"/>
            </w:pPr>
            <w:r>
              <w:rPr>
                <w:rFonts w:ascii="Courier New" w:hAnsi="Courier New"/>
                <w:color w:val="C8E6C9"/>
                <w:sz w:val="16"/>
              </w:rPr>
              <w:t>│  │  AWS Backup Events     │                       │                        │</w:t>
            </w:r>
          </w:p>
          <w:p>
            <w:pPr>
              <w:spacing w:before="0" w:after="0" w:line="240" w:lineRule="auto"/>
              <w:ind w:left="120"/>
            </w:pPr>
            <w:r>
              <w:rPr>
                <w:rFonts w:ascii="Courier New" w:hAnsi="Courier New"/>
                <w:color w:val="C8E6C9"/>
                <w:sz w:val="16"/>
              </w:rPr>
              <w:t>│  │  CloudTrail            │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ALERTING &amp; ACTIONS                   │   │</w:t>
            </w:r>
          </w:p>
          <w:p>
            <w:pPr>
              <w:spacing w:before="0" w:after="0" w:line="240" w:lineRule="auto"/>
              <w:ind w:left="120"/>
            </w:pPr>
            <w:r>
              <w:rPr>
                <w:rFonts w:ascii="Courier New" w:hAnsi="Courier New"/>
                <w:color w:val="C8E6C9"/>
                <w:sz w:val="16"/>
              </w:rPr>
              <w:t>│  ┌───────────────────────┐    │                                       │   │</w:t>
            </w:r>
          </w:p>
          <w:p>
            <w:pPr>
              <w:spacing w:before="0" w:after="0" w:line="240" w:lineRule="auto"/>
              <w:ind w:left="120"/>
            </w:pPr>
            <w:r>
              <w:rPr>
                <w:rFonts w:ascii="Courier New" w:hAnsi="Courier New"/>
                <w:color w:val="C8E6C9"/>
                <w:sz w:val="16"/>
              </w:rPr>
              <w:t>│  │  RUBRIK INTEGRATION    │    │  CloudWatch Alarms → SNS Topic        │   │</w:t>
            </w:r>
          </w:p>
          <w:p>
            <w:pPr>
              <w:spacing w:before="0" w:after="0" w:line="240" w:lineRule="auto"/>
              <w:ind w:left="120"/>
            </w:pPr>
            <w:r>
              <w:rPr>
                <w:rFonts w:ascii="Courier New" w:hAnsi="Courier New"/>
                <w:color w:val="C8E6C9"/>
                <w:sz w:val="16"/>
              </w:rPr>
              <w:t>│  │                        │    │  → PagerDuty / Email / Slack          │   │</w:t>
            </w:r>
          </w:p>
          <w:p>
            <w:pPr>
              <w:spacing w:before="0" w:after="0" w:line="240" w:lineRule="auto"/>
              <w:ind w:left="120"/>
            </w:pPr>
            <w:r>
              <w:rPr>
                <w:rFonts w:ascii="Courier New" w:hAnsi="Courier New"/>
                <w:color w:val="C8E6C9"/>
                <w:sz w:val="16"/>
              </w:rPr>
              <w:t>│  │  Centralised backup    │    │                                       │   │</w:t>
            </w:r>
          </w:p>
          <w:p>
            <w:pPr>
              <w:spacing w:before="0" w:after="0" w:line="240" w:lineRule="auto"/>
              <w:ind w:left="120"/>
            </w:pPr>
            <w:r>
              <w:rPr>
                <w:rFonts w:ascii="Courier New" w:hAnsi="Courier New"/>
                <w:color w:val="C8E6C9"/>
                <w:sz w:val="16"/>
              </w:rPr>
              <w:t>│  │  visibility dashboard  │    │  EventBridge Rules:                   │   │</w:t>
            </w:r>
          </w:p>
          <w:p>
            <w:pPr>
              <w:spacing w:before="0" w:after="0" w:line="240" w:lineRule="auto"/>
              <w:ind w:left="120"/>
            </w:pPr>
            <w:r>
              <w:rPr>
                <w:rFonts w:ascii="Courier New" w:hAnsi="Courier New"/>
                <w:color w:val="C8E6C9"/>
                <w:sz w:val="16"/>
              </w:rPr>
              <w:t>│  │  Compliance reports    │    │  - RDS failover event                 │   │</w:t>
            </w:r>
          </w:p>
          <w:p>
            <w:pPr>
              <w:spacing w:before="0" w:after="0" w:line="240" w:lineRule="auto"/>
              <w:ind w:left="120"/>
            </w:pPr>
            <w:r>
              <w:rPr>
                <w:rFonts w:ascii="Courier New" w:hAnsi="Courier New"/>
                <w:color w:val="C8E6C9"/>
                <w:sz w:val="16"/>
              </w:rPr>
              <w:t>│  │  SLA adherence alerts  │    │  - DMS task failure / lag &gt; 60s       │   │</w:t>
            </w:r>
          </w:p>
          <w:p>
            <w:pPr>
              <w:spacing w:before="0" w:after="0" w:line="240" w:lineRule="auto"/>
              <w:ind w:left="120"/>
            </w:pPr>
            <w:r>
              <w:rPr>
                <w:rFonts w:ascii="Courier New" w:hAnsi="Courier New"/>
                <w:color w:val="C8E6C9"/>
                <w:sz w:val="16"/>
              </w:rPr>
              <w:t>│  │  Drift detection       │    │  - Backup job failure                 │   │</w:t>
            </w:r>
          </w:p>
          <w:p>
            <w:pPr>
              <w:spacing w:before="0" w:after="0" w:line="240" w:lineRule="auto"/>
              <w:ind w:left="120"/>
            </w:pPr>
            <w:r>
              <w:rPr>
                <w:rFonts w:ascii="Courier New" w:hAnsi="Courier New"/>
                <w:color w:val="C8E6C9"/>
                <w:sz w:val="16"/>
              </w:rPr>
              <w:t>│  └───────────────────────┘    │  - CPU &gt; 85%  |  IOPS &gt; 90%           │   │</w:t>
            </w:r>
          </w:p>
          <w:p>
            <w:pPr>
              <w:spacing w:before="0" w:after="0" w:line="240" w:lineRule="auto"/>
              <w:ind w:left="120"/>
            </w:pPr>
            <w:r>
              <w:rPr>
                <w:rFonts w:ascii="Courier New" w:hAnsi="Courier New"/>
                <w:color w:val="C8E6C9"/>
                <w:sz w:val="16"/>
              </w:rPr>
              <w:t>│                                │  - Free storage &lt; 20%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w:t>
            </w:r>
          </w:p>
        </w:tc>
      </w:tr>
    </w:tbl>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Metric / Signal</w:t>
            </w:r>
          </w:p>
        </w:tc>
        <w:tc>
          <w:tcPr>
            <w:tcW w:type="dxa" w:w="216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Source</w:t>
            </w:r>
          </w:p>
        </w:tc>
        <w:tc>
          <w:tcPr>
            <w:tcW w:type="dxa" w:w="201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Alarm Threshold</w:t>
            </w:r>
          </w:p>
        </w:tc>
        <w:tc>
          <w:tcPr>
            <w:tcW w:type="dxa" w:w="259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Action</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CPU Utilisation</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CW Enhanced Monitoring</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&gt; 85% for 5 min</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SNS alert to DBA team</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Free Storage Space</w:t>
            </w:r>
          </w:p>
        </w:tc>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CW RDS Metrics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&lt; 20% (&lt; 2.6 TB)</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SNS alert + storage autoscale trigger</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Read/Write IOPS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CW RDS Metrics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&gt; 90% provisioned IOPS</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SNS alert; review indexing</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DB Connections</w:t>
            </w:r>
          </w:p>
        </w:tc>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CW RDS Metrics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&gt; 900 (90% of max)</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SNS alert; review RDS Proxy pool</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Replica Lag (DR)</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CW DMS / RDS Metrics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&gt; 900 seconds</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SNS alert; investigate CDC health</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DMS Task Error Rate</w:t>
            </w:r>
          </w:p>
        </w:tc>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CW DMS Metrics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Any error event</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EventBridge → Lambda notify</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Backup Job Failure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Backup Events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Any FAILED status</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SNS alert; Rubrik drift alert</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Failover Event</w:t>
            </w:r>
          </w:p>
        </w:tc>
        <w:tc>
          <w:tcPr>
            <w:tcW w:type="dxa" w:w="216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RDS Event Subscriptions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Failover initiated</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EventBridge → SNS → PagerDuty</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Query Duration (P99)</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Performance Insights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&gt; 5 s sustained</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CloudWatch dashboard; DBA review</w:t>
            </w:r>
          </w:p>
        </w:tc>
      </w:tr>
    </w:tbl>
    <w:p/>
    <w:p>
      <w:pPr>
        <w:pStyle w:val="Heading1"/>
        <w:shd w:val="clear" w:color="auto" w:fill="1F497D"/>
        <w:spacing w:before="120" w:after="120"/>
        <w:ind w:left="180"/>
      </w:pPr>
      <w:r>
        <w:rPr>
          <w:rFonts w:ascii="Calibri" w:hAnsi="Calibri"/>
          <w:b/>
          <w:color w:val="FFFFFF"/>
          <w:sz w:val="32"/>
        </w:rPr>
        <w:t>8. Diagram F — Network &amp; Security Boundary</w:t>
      </w:r>
    </w:p>
    <w:p>
      <w:pPr>
        <w:spacing w:before="40" w:after="80"/>
      </w:pPr>
      <w:r>
        <w:rPr>
          <w:rFonts w:ascii="Calibri" w:hAnsi="Calibri"/>
          <w:color w:val="0D0D0D"/>
          <w:sz w:val="20"/>
        </w:rPr>
        <w:t>The network architecture enforces strict segmentation between the application tier, the migration tooling layer (DMS), and the database tier. No public internet access is permitted to any RDS or DMS resource. All inter-service communication traverses private subnets within the VPC.</w:t>
      </w:r>
    </w:p>
    <w:p>
      <w:pPr>
        <w:spacing w:before="120" w:after="40"/>
      </w:pPr>
      <w:r>
        <w:rPr>
          <w:rFonts w:ascii="Calibri" w:hAnsi="Calibri"/>
          <w:b/>
          <w:color w:val="1F497D"/>
          <w:sz w:val="20"/>
        </w:rPr>
        <w:t>Figure F1 – VPC Network &amp; Security Boundary</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w:t>
            </w:r>
          </w:p>
          <w:p>
            <w:pPr>
              <w:spacing w:before="0" w:after="0" w:line="240" w:lineRule="auto"/>
              <w:ind w:left="120"/>
            </w:pPr>
            <w:r>
              <w:rPr>
                <w:rFonts w:ascii="Courier New" w:hAnsi="Courier New"/>
                <w:color w:val="C8E6C9"/>
                <w:sz w:val="16"/>
              </w:rPr>
              <w:t>│  AWS VPC  (Production)   10.0.0.0/16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  PUBLIC SUBNETS  (10.0.0.0/24)  │  │  PRIVATE SUBNETS (10.0.1.0/24)  │   │</w:t>
            </w:r>
          </w:p>
          <w:p>
            <w:pPr>
              <w:spacing w:before="0" w:after="0" w:line="240" w:lineRule="auto"/>
              <w:ind w:left="120"/>
            </w:pPr>
            <w:r>
              <w:rPr>
                <w:rFonts w:ascii="Courier New" w:hAnsi="Courier New"/>
                <w:color w:val="C8E6C9"/>
                <w:sz w:val="16"/>
              </w:rPr>
              <w:t>│  │                                 │  │                                  │   │</w:t>
            </w:r>
          </w:p>
          <w:p>
            <w:pPr>
              <w:spacing w:before="0" w:after="0" w:line="240" w:lineRule="auto"/>
              <w:ind w:left="120"/>
            </w:pPr>
            <w:r>
              <w:rPr>
                <w:rFonts w:ascii="Courier New" w:hAnsi="Courier New"/>
                <w:color w:val="C8E6C9"/>
                <w:sz w:val="16"/>
              </w:rPr>
              <w:t>│  │  Internet Gateway               │  │  Application Servers             │   │</w:t>
            </w:r>
          </w:p>
          <w:p>
            <w:pPr>
              <w:spacing w:before="0" w:after="0" w:line="240" w:lineRule="auto"/>
              <w:ind w:left="120"/>
            </w:pPr>
            <w:r>
              <w:rPr>
                <w:rFonts w:ascii="Courier New" w:hAnsi="Courier New"/>
                <w:color w:val="C8E6C9"/>
                <w:sz w:val="16"/>
              </w:rPr>
              <w:t>│  │  NAT Gateway (outbound only)    │  │  SG: allow-app-sg                │   │</w:t>
            </w:r>
          </w:p>
          <w:p>
            <w:pPr>
              <w:spacing w:before="0" w:after="0" w:line="240" w:lineRule="auto"/>
              <w:ind w:left="120"/>
            </w:pPr>
            <w:r>
              <w:rPr>
                <w:rFonts w:ascii="Courier New" w:hAnsi="Courier New"/>
                <w:color w:val="C8E6C9"/>
                <w:sz w:val="16"/>
              </w:rPr>
              <w:t>│  │  ALB (if applicable)            │  │  → TCP 1433 → RDS Proxy SG       │   │</w:t>
            </w:r>
          </w:p>
          <w:p>
            <w:pPr>
              <w:spacing w:before="0" w:after="0" w:line="240" w:lineRule="auto"/>
              <w:ind w:left="120"/>
            </w:pPr>
            <w:r>
              <w:rPr>
                <w:rFonts w:ascii="Courier New" w:hAnsi="Courier New"/>
                <w:color w:val="C8E6C9"/>
                <w:sz w:val="16"/>
              </w:rPr>
              <w:t>│  └─────────────────────────────────┘  └──────────────────────────────────┘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RDS SUBNET GROUP  (10.0.2.0/24 AZ-A  +  10.0.3.0/24 AZ-B)             │ │</w:t>
            </w:r>
          </w:p>
          <w:p>
            <w:pPr>
              <w:spacing w:before="0" w:after="0" w:line="240" w:lineRule="auto"/>
              <w:ind w:left="120"/>
            </w:pPr>
            <w:r>
              <w:rPr>
                <w:rFonts w:ascii="Courier New" w:hAnsi="Courier New"/>
                <w:color w:val="C8E6C9"/>
                <w:sz w:val="16"/>
              </w:rPr>
              <w:t>│  │  SG: rds-sg  — inbound: TCP 1433 from rds-proxy-sg and dms-sg only      │ │</w:t>
            </w:r>
          </w:p>
          <w:p>
            <w:pPr>
              <w:spacing w:before="0" w:after="0" w:line="240" w:lineRule="auto"/>
              <w:ind w:left="120"/>
            </w:pPr>
            <w:r>
              <w:rPr>
                <w:rFonts w:ascii="Courier New" w:hAnsi="Courier New"/>
                <w:color w:val="C8E6C9"/>
                <w:sz w:val="16"/>
              </w:rPr>
              <w:t>│  │  RDS Primary (AZ-A)  ←—sync replication—►  RDS Standby (AZ-B)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DMS SUBNET GROUP  (10.0.4.0/24)                                         │ │</w:t>
            </w:r>
          </w:p>
          <w:p>
            <w:pPr>
              <w:spacing w:before="0" w:after="0" w:line="240" w:lineRule="auto"/>
              <w:ind w:left="120"/>
            </w:pPr>
            <w:r>
              <w:rPr>
                <w:rFonts w:ascii="Courier New" w:hAnsi="Courier New"/>
                <w:color w:val="C8E6C9"/>
                <w:sz w:val="16"/>
              </w:rPr>
              <w:t>│  │  SG: dms-sg — inbound: none from internet; outbound: TCP 1433 to rds-sg  │ │</w:t>
            </w:r>
          </w:p>
          <w:p>
            <w:pPr>
              <w:spacing w:before="0" w:after="0" w:line="240" w:lineRule="auto"/>
              <w:ind w:left="120"/>
            </w:pPr>
            <w:r>
              <w:rPr>
                <w:rFonts w:ascii="Courier New" w:hAnsi="Courier New"/>
                <w:color w:val="C8E6C9"/>
                <w:sz w:val="16"/>
              </w:rPr>
              <w:t>│  │  DMS replication instance (r5.4xlarge)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  MANAGEMENT / BASTION SUBNET  (10.0.5.0/24)                              │ │</w:t>
            </w:r>
          </w:p>
          <w:p>
            <w:pPr>
              <w:spacing w:before="0" w:after="0" w:line="240" w:lineRule="auto"/>
              <w:ind w:left="120"/>
            </w:pPr>
            <w:r>
              <w:rPr>
                <w:rFonts w:ascii="Courier New" w:hAnsi="Courier New"/>
                <w:color w:val="C8E6C9"/>
                <w:sz w:val="16"/>
              </w:rPr>
              <w:t>│  │  Bastion Host (SSM Session Manager — no SSH port open)                  │ │</w:t>
            </w:r>
          </w:p>
          <w:p>
            <w:pPr>
              <w:spacing w:before="0" w:after="0" w:line="240" w:lineRule="auto"/>
              <w:ind w:left="120"/>
            </w:pPr>
            <w:r>
              <w:rPr>
                <w:rFonts w:ascii="Courier New" w:hAnsi="Courier New"/>
                <w:color w:val="C8E6C9"/>
                <w:sz w:val="16"/>
              </w:rPr>
              <w:t>│  │  AWS Systems Manager endpoints (interface VPC endpoints)                │ │</w:t>
            </w:r>
          </w:p>
          <w:p>
            <w:pPr>
              <w:spacing w:before="0" w:after="0" w:line="240" w:lineRule="auto"/>
              <w:ind w:left="120"/>
            </w:pPr>
            <w:r>
              <w:rPr>
                <w:rFonts w:ascii="Courier New" w:hAnsi="Courier New"/>
                <w:color w:val="C8E6C9"/>
                <w:sz w:val="16"/>
              </w:rPr>
              <w:t>│  └──────────────────────────────────────────────────────────────────────────┘ │</w:t>
            </w:r>
          </w:p>
          <w:p>
            <w:pPr>
              <w:spacing w:before="0" w:after="0" w:line="240" w:lineRule="auto"/>
              <w:ind w:left="120"/>
            </w:pPr>
            <w:r>
              <w:rPr>
                <w:rFonts w:ascii="Courier New" w:hAnsi="Courier New"/>
                <w:color w:val="C8E6C9"/>
                <w:sz w:val="16"/>
              </w:rPr>
              <w:t>│                                                                               │</w:t>
            </w:r>
          </w:p>
          <w:p>
            <w:pPr>
              <w:spacing w:before="0" w:after="0" w:line="240" w:lineRule="auto"/>
              <w:ind w:left="120"/>
            </w:pPr>
            <w:r>
              <w:rPr>
                <w:rFonts w:ascii="Courier New" w:hAnsi="Courier New"/>
                <w:color w:val="C8E6C9"/>
                <w:sz w:val="16"/>
              </w:rPr>
              <w:t>│  VPC Endpoints (PrivateLink — no internet traversal):                        │</w:t>
            </w:r>
          </w:p>
          <w:p>
            <w:pPr>
              <w:spacing w:before="0" w:after="0" w:line="240" w:lineRule="auto"/>
              <w:ind w:left="120"/>
            </w:pPr>
            <w:r>
              <w:rPr>
                <w:rFonts w:ascii="Courier New" w:hAnsi="Courier New"/>
                <w:color w:val="C8E6C9"/>
                <w:sz w:val="16"/>
              </w:rPr>
              <w:t>│  S3, KMS, Secrets Manager, CloudWatch Logs, SSM, DMS                        │</w:t>
            </w:r>
          </w:p>
          <w:p>
            <w:pPr>
              <w:spacing w:before="0" w:after="0" w:line="240" w:lineRule="auto"/>
              <w:ind w:left="120"/>
            </w:pPr>
            <w:r>
              <w:rPr>
                <w:rFonts w:ascii="Courier New" w:hAnsi="Courier New"/>
                <w:color w:val="C8E6C9"/>
                <w:sz w:val="16"/>
              </w:rPr>
              <w:t>└───────────────────────────────────────────────────────────────────────────────┘</w:t>
            </w:r>
          </w:p>
        </w:tc>
      </w:tr>
    </w:tbl>
    <w:p/>
    <w:p>
      <w:pPr>
        <w:pStyle w:val="Heading3"/>
        <w:spacing w:before="120" w:after="40"/>
      </w:pPr>
      <w:r>
        <w:rPr>
          <w:rFonts w:ascii="Calibri" w:hAnsi="Calibri"/>
          <w:b/>
          <w:color w:val="2E75B6"/>
          <w:sz w:val="22"/>
        </w:rPr>
        <w:t>8.1 Security Group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Security Group</w:t>
            </w:r>
          </w:p>
        </w:tc>
        <w:tc>
          <w:tcPr>
            <w:tcW w:type="dxa" w:w="288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Inbound Rules</w:t>
            </w:r>
          </w:p>
        </w:tc>
        <w:tc>
          <w:tcPr>
            <w:tcW w:type="dxa" w:w="259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Outbound Rules</w:t>
            </w:r>
          </w:p>
        </w:tc>
        <w:tc>
          <w:tcPr>
            <w:tcW w:type="dxa" w:w="1584"/>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Attached To</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app-sg</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HTTPS 443 from ALB; custom app port from load balancer</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TCP 1433 → rds-proxy-sg</w:t>
            </w:r>
          </w:p>
        </w:tc>
        <w:tc>
          <w:tcPr>
            <w:tcW w:type="dxa" w:w="158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Application servers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rds-proxy-sg</w:t>
            </w:r>
          </w:p>
        </w:tc>
        <w:tc>
          <w:tcPr>
            <w:tcW w:type="dxa" w:w="288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TCP 1433 from app-sg</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TCP 1433 → rds-sg</w:t>
            </w:r>
          </w:p>
        </w:tc>
        <w:tc>
          <w:tcPr>
            <w:tcW w:type="dxa" w:w="158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RDS Proxy instances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rds-sg</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TCP 1433 from rds-proxy-sg, dms-sg</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Outbound: none required</w:t>
            </w:r>
          </w:p>
        </w:tc>
        <w:tc>
          <w:tcPr>
            <w:tcW w:type="dxa" w:w="158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RDS Primary &amp; Standby</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dms-sg</w:t>
            </w:r>
          </w:p>
        </w:tc>
        <w:tc>
          <w:tcPr>
            <w:tcW w:type="dxa" w:w="288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None (no inbound required)</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TCP 1433 → rds-sg; HTTPS 443 → VPC endpoints</w:t>
            </w:r>
          </w:p>
        </w:tc>
        <w:tc>
          <w:tcPr>
            <w:tcW w:type="dxa" w:w="158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DMS Replication Instance</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bastion-sg</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None (managed via SSM only)</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TCP 1433 → rds-sg (admin)</w:t>
            </w:r>
          </w:p>
        </w:tc>
        <w:tc>
          <w:tcPr>
            <w:tcW w:type="dxa" w:w="158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Bastion/Admin Host</w:t>
            </w:r>
          </w:p>
        </w:tc>
      </w:tr>
    </w:tbl>
    <w:p/>
    <w:p>
      <w:pPr>
        <w:pStyle w:val="Heading3"/>
        <w:spacing w:before="120" w:after="40"/>
      </w:pPr>
      <w:r>
        <w:rPr>
          <w:rFonts w:ascii="Calibri" w:hAnsi="Calibri"/>
          <w:b/>
          <w:color w:val="2E75B6"/>
          <w:sz w:val="22"/>
        </w:rPr>
        <w:t>8.2 Encryption Architecture</w:t>
      </w:r>
    </w:p>
    <w:p>
      <w:pPr>
        <w:pStyle w:val="ListBullet"/>
        <w:spacing w:before="20" w:after="20"/>
      </w:pPr>
      <w:r>
        <w:rPr>
          <w:rFonts w:ascii="Calibri" w:hAnsi="Calibri"/>
          <w:color w:val="0D0D0D"/>
          <w:sz w:val="20"/>
        </w:rPr>
        <w:t>Encryption at Rest: All RDS instances, RDS automated backups, and DMS replication storage are encrypted using AWS KMS Customer Managed Keys (CMKs). Separate CMKs are used for Production and Non-Production to enforce key-level access boundaries.</w:t>
      </w:r>
    </w:p>
    <w:p>
      <w:pPr>
        <w:pStyle w:val="ListBullet"/>
        <w:spacing w:before="20" w:after="20"/>
      </w:pPr>
      <w:r>
        <w:rPr>
          <w:rFonts w:ascii="Calibri" w:hAnsi="Calibri"/>
          <w:color w:val="0D0D0D"/>
          <w:sz w:val="20"/>
        </w:rPr>
        <w:t>Encryption in Transit: TLS 1.2 or higher is enforced on all RDS connections. The RDS parameter group sets rds.force_ssl = 1. Certificates are AWS-managed ACM certificates.</w:t>
      </w:r>
    </w:p>
    <w:p>
      <w:pPr>
        <w:pStyle w:val="ListBullet"/>
        <w:spacing w:before="20" w:after="20"/>
      </w:pPr>
      <w:r>
        <w:rPr>
          <w:rFonts w:ascii="Calibri" w:hAnsi="Calibri"/>
          <w:color w:val="0D0D0D"/>
          <w:sz w:val="20"/>
        </w:rPr>
        <w:t>Key Rotation: CMKs are configured for automatic annual rotation. Key policies enforce least-privilege: only the RDS service principal, DBA IAM role, and Terraform deployment role have key usage permission.</w:t>
      </w:r>
    </w:p>
    <w:p>
      <w:pPr>
        <w:pStyle w:val="ListBullet"/>
        <w:spacing w:before="20" w:after="20"/>
      </w:pPr>
      <w:r>
        <w:rPr>
          <w:rFonts w:ascii="Calibri" w:hAnsi="Calibri"/>
          <w:color w:val="0D0D0D"/>
          <w:sz w:val="20"/>
        </w:rPr>
        <w:t>Secrets Management: RDS master credentials are stored in AWS Secrets Manager. Applications retrieve credentials at runtime via IAM-authenticated API calls — no hard-coded passwords.</w:t>
      </w:r>
    </w:p>
    <w:p>
      <w:pPr>
        <w:pStyle w:val="Heading3"/>
        <w:spacing w:before="120" w:after="40"/>
      </w:pPr>
      <w:r>
        <w:rPr>
          <w:rFonts w:ascii="Calibri" w:hAnsi="Calibri"/>
          <w:b/>
          <w:color w:val="2E75B6"/>
          <w:sz w:val="22"/>
        </w:rPr>
        <w:t>8.3 IAM Roles &amp; Policies</w:t>
      </w:r>
    </w:p>
    <w:tbl>
      <w:tblPr>
        <w:tblStyle w:val="TableGrid"/>
        <w:tblW w:type="auto" w:w="0"/>
        <w:jc w:val="left"/>
        <w:tblLook w:firstColumn="1" w:firstRow="1" w:lastColumn="0" w:lastRow="0" w:noHBand="0" w:noVBand="1" w:val="04A0"/>
      </w:tblPr>
      <w:tblGrid>
        <w:gridCol w:w="3120"/>
        <w:gridCol w:w="3120"/>
        <w:gridCol w:w="3120"/>
      </w:tblGrid>
      <w:tr>
        <w:tc>
          <w:tcPr>
            <w:tcW w:type="dxa" w:w="273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IAM Role</w:t>
            </w:r>
          </w:p>
        </w:tc>
        <w:tc>
          <w:tcPr>
            <w:tcW w:type="dxa" w:w="259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Principal</w:t>
            </w:r>
          </w:p>
        </w:tc>
        <w:tc>
          <w:tcPr>
            <w:tcW w:type="dxa" w:w="360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Permissions</w:t>
            </w:r>
          </w:p>
        </w:tc>
      </w:tr>
      <w:tr>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rds-enhanced-monitoring-role</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monitoring.rds.amazonaws.com</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CloudWatch:PutMetricData, logs:*</w:t>
            </w:r>
          </w:p>
        </w:tc>
      </w:tr>
      <w:tr>
        <w:tc>
          <w:tcPr>
            <w:tcW w:type="dxa" w:w="273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dms-vpc-role</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dms.amazonaws.com</w:t>
            </w:r>
          </w:p>
        </w:tc>
        <w:tc>
          <w:tcPr>
            <w:tcW w:type="dxa" w:w="36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VPC describe, EC2 network interface attach</w:t>
            </w:r>
          </w:p>
        </w:tc>
      </w:tr>
      <w:tr>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dms-source-role</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dms.amazonaws.com</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RDS DescribeDBInstances; EC2 source endpoint read</w:t>
            </w:r>
          </w:p>
        </w:tc>
      </w:tr>
      <w:tr>
        <w:tc>
          <w:tcPr>
            <w:tcW w:type="dxa" w:w="273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rds-backup-role</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backup.amazonaws.com</w:t>
            </w:r>
          </w:p>
        </w:tc>
        <w:tc>
          <w:tcPr>
            <w:tcW w:type="dxa" w:w="36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RDS CreateDBSnapshot, CopyDBSnapshot, KMS:GenerateDataKey</w:t>
            </w:r>
          </w:p>
        </w:tc>
      </w:tr>
      <w:tr>
        <w:tc>
          <w:tcPr>
            <w:tcW w:type="dxa" w:w="273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terraform-deployment-role</w:t>
            </w:r>
          </w:p>
        </w:tc>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CI/CD pipeline (OIDC federated)</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Scoped: RDS, DMS, VPC, KMS, IAM (create only, no *Admin)</w:t>
            </w:r>
          </w:p>
        </w:tc>
      </w:tr>
      <w:tr>
        <w:tc>
          <w:tcPr>
            <w:tcW w:type="dxa" w:w="273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dba-admin-role</w:t>
            </w:r>
          </w:p>
        </w:tc>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Federated AD / IAM Identity Center SSO</w:t>
            </w:r>
          </w:p>
        </w:tc>
        <w:tc>
          <w:tcPr>
            <w:tcW w:type="dxa" w:w="36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RDS Connect, Performance Insights read, CloudWatch read</w:t>
            </w:r>
          </w:p>
        </w:tc>
      </w:tr>
    </w:tbl>
    <w:p/>
    <w:p>
      <w:pPr>
        <w:pStyle w:val="Heading1"/>
        <w:shd w:val="clear" w:color="auto" w:fill="1F497D"/>
        <w:spacing w:before="120" w:after="120"/>
        <w:ind w:left="180"/>
      </w:pPr>
      <w:r>
        <w:rPr>
          <w:rFonts w:ascii="Calibri" w:hAnsi="Calibri"/>
          <w:b/>
          <w:color w:val="FFFFFF"/>
          <w:sz w:val="32"/>
        </w:rPr>
        <w:t>9. Backup &amp; Recovery Architecture</w:t>
      </w:r>
    </w:p>
    <w:p>
      <w:pPr>
        <w:spacing w:before="40" w:after="80"/>
      </w:pPr>
      <w:r>
        <w:rPr>
          <w:rFonts w:ascii="Calibri" w:hAnsi="Calibri"/>
          <w:color w:val="0D0D0D"/>
          <w:sz w:val="20"/>
        </w:rPr>
        <w:t>The backup strategy combines AWS Backup for automated, policy-driven orchestration with Rubrik for centralised enterprise visibility and compliance reporting. The two tools are complementary: AWS Backup performs the actual snapshot operations; Rubrik consumes AWS Backup audit events and provides governance dashboards.</w:t>
      </w:r>
    </w:p>
    <w:p>
      <w:pPr>
        <w:spacing w:before="120" w:after="40"/>
      </w:pPr>
      <w:r>
        <w:rPr>
          <w:rFonts w:ascii="Calibri" w:hAnsi="Calibri"/>
          <w:b/>
          <w:color w:val="1F497D"/>
          <w:sz w:val="20"/>
        </w:rPr>
        <w:t>Figure G1 – Backup Architecture</w:t>
      </w:r>
    </w:p>
    <w:tbl>
      <w:tblPr>
        <w:tblStyle w:val="TableGrid"/>
        <w:tblW w:type="auto" w:w="0"/>
        <w:tblLook w:firstColumn="1" w:firstRow="1" w:lastColumn="0" w:lastRow="0" w:noHBand="0" w:noVBand="1" w:val="04A0"/>
      </w:tblPr>
      <w:tblGrid>
        <w:gridCol w:w="9360"/>
      </w:tblGrid>
      <w:tr>
        <w:tc>
          <w:tcPr>
            <w:tcW w:type="dxa" w:w="9360"/>
            <w:tcBorders>
              <w:top w:val="single" w:sz="6" w:space="0" w:color="2E75B6"/>
              <w:left w:val="single" w:sz="6" w:space="0" w:color="2E75B6"/>
              <w:bottom w:val="single" w:sz="6" w:space="0" w:color="2E75B6"/>
              <w:right w:val="single" w:sz="6" w:space="0" w:color="2E75B6"/>
            </w:tcBorders>
            <w:shd w:val="clear" w:color="auto" w:fill="1C1C2E"/>
          </w:tcPr>
          <w:p>
            <w:pPr>
              <w:spacing w:before="0" w:after="0" w:line="240" w:lineRule="auto"/>
              <w:ind w:left="120"/>
            </w:pPr>
            <w:r>
              <w:rPr>
                <w:rFonts w:ascii="Courier New" w:hAnsi="Courier New"/>
                <w:color w:val="C8E6C9"/>
                <w:sz w:val="16"/>
              </w:rPr>
              <w:t xml:space="preserve">  RDS Instance (Primary)                                                 </w:t>
            </w:r>
          </w:p>
          <w:p>
            <w:pPr>
              <w:spacing w:before="0" w:after="0" w:line="240" w:lineRule="auto"/>
              <w:ind w:left="120"/>
            </w:pPr>
            <w:r>
              <w:rPr>
                <w:rFonts w:ascii="Courier New" w:hAnsi="Courier New"/>
                <w:color w:val="C8E6C9"/>
                <w:sz w:val="16"/>
              </w:rPr>
              <w:t xml:space="preserve">       │                                                                 </w:t>
            </w:r>
          </w:p>
          <w:p>
            <w:pPr>
              <w:spacing w:before="0" w:after="0" w:line="240" w:lineRule="auto"/>
              <w:ind w:left="120"/>
            </w:pPr>
            <w:r>
              <w:rPr>
                <w:rFonts w:ascii="Courier New" w:hAnsi="Courier New"/>
                <w:color w:val="C8E6C9"/>
                <w:sz w:val="16"/>
              </w:rPr>
              <w:t xml:space="preserve">       ├─── Automated RDS Backups (AWS-managed) ───► Backup Vault (Primary Region)</w:t>
            </w:r>
          </w:p>
          <w:p>
            <w:pPr>
              <w:spacing w:before="0" w:after="0" w:line="240" w:lineRule="auto"/>
              <w:ind w:left="120"/>
            </w:pPr>
            <w:r>
              <w:rPr>
                <w:rFonts w:ascii="Courier New" w:hAnsi="Courier New"/>
                <w:color w:val="C8E6C9"/>
                <w:sz w:val="16"/>
              </w:rPr>
              <w:t xml:space="preserve">       │    PITR: transaction log backups every 5 min                    </w:t>
            </w:r>
          </w:p>
          <w:p>
            <w:pPr>
              <w:spacing w:before="0" w:after="0" w:line="240" w:lineRule="auto"/>
              <w:ind w:left="120"/>
            </w:pPr>
            <w:r>
              <w:rPr>
                <w:rFonts w:ascii="Courier New" w:hAnsi="Courier New"/>
                <w:color w:val="C8E6C9"/>
                <w:sz w:val="16"/>
              </w:rPr>
              <w:t xml:space="preserve">       │    Daily snapshot: retained 35 days                            </w:t>
            </w:r>
          </w:p>
          <w:p>
            <w:pPr>
              <w:spacing w:before="0" w:after="0" w:line="240" w:lineRule="auto"/>
              <w:ind w:left="120"/>
            </w:pPr>
            <w:r>
              <w:rPr>
                <w:rFonts w:ascii="Courier New" w:hAnsi="Courier New"/>
                <w:color w:val="C8E6C9"/>
                <w:sz w:val="16"/>
              </w:rPr>
              <w:t xml:space="preserve">       │                                          │                      </w:t>
            </w:r>
          </w:p>
          <w:p>
            <w:pPr>
              <w:spacing w:before="0" w:after="0" w:line="240" w:lineRule="auto"/>
              <w:ind w:left="120"/>
            </w:pPr>
            <w:r>
              <w:rPr>
                <w:rFonts w:ascii="Courier New" w:hAnsi="Courier New"/>
                <w:color w:val="C8E6C9"/>
                <w:sz w:val="16"/>
              </w:rPr>
              <w:t xml:space="preserve">       │                                          └──── Cross-Region Copy</w:t>
            </w:r>
          </w:p>
          <w:p>
            <w:pPr>
              <w:spacing w:before="0" w:after="0" w:line="240" w:lineRule="auto"/>
              <w:ind w:left="120"/>
            </w:pPr>
            <w:r>
              <w:rPr>
                <w:rFonts w:ascii="Courier New" w:hAnsi="Courier New"/>
                <w:color w:val="C8E6C9"/>
                <w:sz w:val="16"/>
              </w:rPr>
              <w:t xml:space="preserve">       │                                                → Backup Vault (DR Region)</w:t>
            </w:r>
          </w:p>
          <w:p>
            <w:pPr>
              <w:spacing w:before="0" w:after="0" w:line="240" w:lineRule="auto"/>
              <w:ind w:left="120"/>
            </w:pPr>
            <w:r>
              <w:rPr>
                <w:rFonts w:ascii="Courier New" w:hAnsi="Courier New"/>
                <w:color w:val="C8E6C9"/>
                <w:sz w:val="16"/>
              </w:rPr>
              <w:t xml:space="preserve">       │                                                → Retained 90 days</w:t>
            </w:r>
          </w:p>
          <w:p>
            <w:pPr>
              <w:spacing w:before="0" w:after="0" w:line="240" w:lineRule="auto"/>
              <w:ind w:left="120"/>
            </w:pPr>
            <w:r>
              <w:rPr>
                <w:rFonts w:ascii="Courier New" w:hAnsi="Courier New"/>
                <w:color w:val="C8E6C9"/>
                <w:sz w:val="16"/>
              </w:rPr>
              <w:t xml:space="preserve">       │                                                                 </w:t>
            </w:r>
          </w:p>
          <w:p>
            <w:pPr>
              <w:spacing w:before="0" w:after="0" w:line="240" w:lineRule="auto"/>
              <w:ind w:left="120"/>
            </w:pPr>
            <w:r>
              <w:rPr>
                <w:rFonts w:ascii="Courier New" w:hAnsi="Courier New"/>
                <w:color w:val="C8E6C9"/>
                <w:sz w:val="16"/>
              </w:rPr>
              <w:t xml:space="preserve">       └─── AWS Backup Plan (policy-driven) ─────► Backup Audit Manager  </w:t>
            </w:r>
          </w:p>
          <w:p>
            <w:pPr>
              <w:spacing w:before="0" w:after="0" w:line="240" w:lineRule="auto"/>
              <w:ind w:left="120"/>
            </w:pPr>
            <w:r>
              <w:rPr>
                <w:rFonts w:ascii="Courier New" w:hAnsi="Courier New"/>
                <w:color w:val="C8E6C9"/>
                <w:sz w:val="16"/>
              </w:rPr>
              <w:t xml:space="preserve">            Tags: Environment=Production               │                  </w:t>
            </w:r>
          </w:p>
          <w:p>
            <w:pPr>
              <w:spacing w:before="0" w:after="0" w:line="240" w:lineRule="auto"/>
              <w:ind w:left="120"/>
            </w:pPr>
            <w:r>
              <w:rPr>
                <w:rFonts w:ascii="Courier New" w:hAnsi="Courier New"/>
                <w:color w:val="C8E6C9"/>
                <w:sz w:val="16"/>
              </w:rPr>
              <w:t xml:space="preserve">            Lifecycle: transition to cold after 30d    │                  </w:t>
            </w:r>
          </w:p>
          <w:p>
            <w:pPr>
              <w:spacing w:before="0" w:after="0" w:line="240" w:lineRule="auto"/>
              <w:ind w:left="120"/>
            </w:pPr>
            <w:r>
              <w:rPr>
                <w:rFonts w:ascii="Courier New" w:hAnsi="Courier New"/>
                <w:color w:val="C8E6C9"/>
                <w:sz w:val="16"/>
              </w:rPr>
              <w:t xml:space="preserve">            Vault Lock (immutable) enabled             │                  </w:t>
            </w:r>
          </w:p>
          <w:p>
            <w:pPr>
              <w:spacing w:before="0" w:after="0" w:line="240" w:lineRule="auto"/>
              <w:ind w:left="120"/>
            </w:pPr>
            <w:r>
              <w:rPr>
                <w:rFonts w:ascii="Courier New" w:hAnsi="Courier New"/>
                <w:color w:val="C8E6C9"/>
                <w:sz w:val="16"/>
              </w:rPr>
              <w:t xml:space="preserve">                                                       ▼                  </w:t>
            </w:r>
          </w:p>
          <w:p>
            <w:pPr>
              <w:spacing w:before="0" w:after="0" w:line="240" w:lineRule="auto"/>
              <w:ind w:left="120"/>
            </w:pPr>
            <w:r>
              <w:rPr>
                <w:rFonts w:ascii="Courier New" w:hAnsi="Courier New"/>
                <w:color w:val="C8E6C9"/>
                <w:sz w:val="16"/>
              </w:rPr>
              <w:t xml:space="preserve">                                               Rubrik Integration         </w:t>
            </w:r>
          </w:p>
          <w:p>
            <w:pPr>
              <w:spacing w:before="0" w:after="0" w:line="240" w:lineRule="auto"/>
              <w:ind w:left="120"/>
            </w:pPr>
            <w:r>
              <w:rPr>
                <w:rFonts w:ascii="Courier New" w:hAnsi="Courier New"/>
                <w:color w:val="C8E6C9"/>
                <w:sz w:val="16"/>
              </w:rPr>
              <w:t xml:space="preserve">                                               ├── Backup visibility      </w:t>
            </w:r>
          </w:p>
          <w:p>
            <w:pPr>
              <w:spacing w:before="0" w:after="0" w:line="240" w:lineRule="auto"/>
              <w:ind w:left="120"/>
            </w:pPr>
            <w:r>
              <w:rPr>
                <w:rFonts w:ascii="Courier New" w:hAnsi="Courier New"/>
                <w:color w:val="C8E6C9"/>
                <w:sz w:val="16"/>
              </w:rPr>
              <w:t xml:space="preserve">                                               ├── Compliance reports     </w:t>
            </w:r>
          </w:p>
          <w:p>
            <w:pPr>
              <w:spacing w:before="0" w:after="0" w:line="240" w:lineRule="auto"/>
              <w:ind w:left="120"/>
            </w:pPr>
            <w:r>
              <w:rPr>
                <w:rFonts w:ascii="Courier New" w:hAnsi="Courier New"/>
                <w:color w:val="C8E6C9"/>
                <w:sz w:val="16"/>
              </w:rPr>
              <w:t xml:space="preserve">                                               ├── Drift detection        </w:t>
            </w:r>
          </w:p>
          <w:p>
            <w:pPr>
              <w:spacing w:before="0" w:after="0" w:line="240" w:lineRule="auto"/>
              <w:ind w:left="120"/>
            </w:pPr>
            <w:r>
              <w:rPr>
                <w:rFonts w:ascii="Courier New" w:hAnsi="Courier New"/>
                <w:color w:val="C8E6C9"/>
                <w:sz w:val="16"/>
              </w:rPr>
              <w:t xml:space="preserve">                                               └── SLA adherence alerts   </w:t>
            </w:r>
          </w:p>
        </w:tc>
      </w:tr>
    </w:tbl>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Backup Type</w:t>
            </w:r>
          </w:p>
        </w:tc>
        <w:tc>
          <w:tcPr>
            <w:tcW w:type="dxa" w:w="201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Frequency</w:t>
            </w:r>
          </w:p>
        </w:tc>
        <w:tc>
          <w:tcPr>
            <w:tcW w:type="dxa" w:w="129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Retention</w:t>
            </w:r>
          </w:p>
        </w:tc>
        <w:tc>
          <w:tcPr>
            <w:tcW w:type="dxa" w:w="129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Region</w:t>
            </w:r>
          </w:p>
        </w:tc>
        <w:tc>
          <w:tcPr>
            <w:tcW w:type="dxa" w:w="144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Immutability</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Automated RDS PITR (transaction logs)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Every 5 minutes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35 days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Primary</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No (AWS-managed)</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Daily RDS Snapshot (AWS Backup plan)</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Daily 02:00 UTC</w:t>
            </w:r>
          </w:p>
        </w:tc>
        <w:tc>
          <w:tcPr>
            <w:tcW w:type="dxa" w:w="129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35 days</w:t>
            </w:r>
          </w:p>
        </w:tc>
        <w:tc>
          <w:tcPr>
            <w:tcW w:type="dxa" w:w="129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Primary</w:t>
            </w:r>
          </w:p>
        </w:tc>
        <w:tc>
          <w:tcPr>
            <w:tcW w:type="dxa" w:w="144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Vault Lock enabled</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Cross-Region Snapshot Copy</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Daily (after primary snapshot)</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90 days</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DR Region</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Vault Lock enabled</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On-demand snapshot (pre-cutover)</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Manual (pre/post cutover)</w:t>
            </w:r>
          </w:p>
        </w:tc>
        <w:tc>
          <w:tcPr>
            <w:tcW w:type="dxa" w:w="129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30 days</w:t>
            </w:r>
          </w:p>
        </w:tc>
        <w:tc>
          <w:tcPr>
            <w:tcW w:type="dxa" w:w="129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Primary + DR</w:t>
            </w:r>
          </w:p>
        </w:tc>
        <w:tc>
          <w:tcPr>
            <w:tcW w:type="dxa" w:w="144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N/A</w:t>
            </w:r>
          </w:p>
        </w:tc>
      </w:tr>
      <w:tr>
        <w:tc>
          <w:tcPr>
            <w:tcW w:type="dxa" w:w="288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DMS task checkpoint (pre-cutover)</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Saved pre-cutover</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7 days (S3)</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Primary</w:t>
            </w:r>
          </w:p>
        </w:tc>
        <w:tc>
          <w:tcPr>
            <w:tcW w:type="dxa" w:w="144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N/A</w:t>
            </w:r>
          </w:p>
        </w:tc>
      </w:tr>
    </w:tbl>
    <w:p/>
    <w:p>
      <w:pPr>
        <w:pStyle w:val="Heading1"/>
        <w:shd w:val="clear" w:color="auto" w:fill="1F497D"/>
        <w:spacing w:before="120" w:after="120"/>
        <w:ind w:left="180"/>
      </w:pPr>
      <w:r>
        <w:rPr>
          <w:rFonts w:ascii="Calibri" w:hAnsi="Calibri"/>
          <w:b/>
          <w:color w:val="FFFFFF"/>
          <w:sz w:val="32"/>
        </w:rPr>
        <w:t>10. Terraform Infrastructure-as-Code Module Layout</w:t>
      </w:r>
    </w:p>
    <w:p>
      <w:pPr>
        <w:spacing w:before="40" w:after="80"/>
      </w:pPr>
      <w:r>
        <w:rPr>
          <w:rFonts w:ascii="Calibri" w:hAnsi="Calibri"/>
          <w:color w:val="0D0D0D"/>
          <w:sz w:val="20"/>
        </w:rPr>
        <w:t>All AWS infrastructure described in this architecture is provisioned and managed via Terraform. The following module structure aligns with the project folder layout and maps directly to the architectural components described above.</w:t>
      </w:r>
    </w:p>
    <w:tbl>
      <w:tblPr>
        <w:tblStyle w:val="TableGrid"/>
        <w:tblW w:type="auto" w:w="0"/>
        <w:jc w:val="left"/>
        <w:tblLook w:firstColumn="1" w:firstRow="1" w:lastColumn="0" w:lastRow="0" w:noHBand="0" w:noVBand="1" w:val="04A0"/>
      </w:tblPr>
      <w:tblGrid>
        <w:gridCol w:w="3120"/>
        <w:gridCol w:w="3120"/>
        <w:gridCol w:w="3120"/>
      </w:tblGrid>
      <w:tr>
        <w:tc>
          <w:tcPr>
            <w:tcW w:type="dxa" w:w="259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Terraform Module / Path</w:t>
            </w:r>
          </w:p>
        </w:tc>
        <w:tc>
          <w:tcPr>
            <w:tcW w:type="dxa" w:w="4320"/>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Components Provisioned</w:t>
            </w:r>
          </w:p>
        </w:tc>
        <w:tc>
          <w:tcPr>
            <w:tcW w:type="dxa" w:w="2016"/>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Used By</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modules/vpc</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VPC, subnets (public/private/RDS/DMS/mgmt), route tables, NAT GW, VPC endpoints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modules/security-groups</w:t>
            </w:r>
          </w:p>
        </w:tc>
        <w:tc>
          <w:tcPr>
            <w:tcW w:type="dxa" w:w="43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All SGs (app, rds-proxy, rds, dms, bastion) with cross-SG rules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modules/kms</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CMKs for prod &amp; non-prod with key policies and aliases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modules/iam</w:t>
            </w:r>
          </w:p>
        </w:tc>
        <w:tc>
          <w:tcPr>
            <w:tcW w:type="dxa" w:w="43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All IAM roles &amp; policies listed in §8.3</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modules/rds-sqlserver</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RDS instance, parameter group, option group, subnet group, Multi-AZ flag, storage autoscale, Performance Insights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Per environment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modules/rds-proxy</w:t>
            </w:r>
          </w:p>
        </w:tc>
        <w:tc>
          <w:tcPr>
            <w:tcW w:type="dxa" w:w="43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RDS Proxy, target group, auth config (IAM + Secrets Manager)</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Production only</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modules/dms</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DMS replication instance, subnet group, endpoints (source + target), replication tasks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Migration execution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modules/s3</w:t>
            </w:r>
          </w:p>
        </w:tc>
        <w:tc>
          <w:tcPr>
            <w:tcW w:type="dxa" w:w="43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S3 bucket for DMS logs, staging, and backup plan artefacts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modules/backup</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Backup plan, vault, vault lock, cross-region copy rule, Rubrik tags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modules/monitoring</w:t>
            </w:r>
          </w:p>
        </w:tc>
        <w:tc>
          <w:tcPr>
            <w:tcW w:type="dxa" w:w="43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CloudWatch alarms, SNS topics, EventBridge rules, log groups</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All environments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environments/nonprod</w:t>
            </w:r>
          </w:p>
        </w:tc>
        <w:tc>
          <w:tcPr>
            <w:tcW w:type="dxa" w:w="4320"/>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tfvars for DEV / QA / INT sizing, single-AZ overrides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Non-production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environments/prod</w:t>
            </w:r>
          </w:p>
        </w:tc>
        <w:tc>
          <w:tcPr>
            <w:tcW w:type="dxa" w:w="4320"/>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tfvars for production sizing, Multi-AZ=true, DR cross-region config</w:t>
            </w:r>
          </w:p>
        </w:tc>
        <w:tc>
          <w:tcPr>
            <w:tcW w:type="dxa" w:w="2016"/>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Production + DR</w:t>
            </w:r>
          </w:p>
        </w:tc>
      </w:tr>
    </w:tbl>
    <w:p/>
    <w:p>
      <w:pPr>
        <w:pStyle w:val="Heading1"/>
        <w:shd w:val="clear" w:color="auto" w:fill="1F497D"/>
        <w:spacing w:before="120" w:after="120"/>
        <w:ind w:left="180"/>
      </w:pPr>
      <w:r>
        <w:rPr>
          <w:rFonts w:ascii="Calibri" w:hAnsi="Calibri"/>
          <w:b/>
          <w:color w:val="FFFFFF"/>
          <w:sz w:val="32"/>
        </w:rPr>
        <w:t>11. Full Component Reference</w:t>
      </w:r>
    </w:p>
    <w:p>
      <w:pPr>
        <w:spacing w:before="40" w:after="80"/>
      </w:pPr>
      <w:r>
        <w:rPr>
          <w:rFonts w:ascii="Calibri" w:hAnsi="Calibri"/>
          <w:color w:val="0D0D0D"/>
          <w:sz w:val="20"/>
        </w:rPr>
        <w:t>The following table consolidates every AWS service and third-party component referenced across all architecture diagrams.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Component</w:t>
            </w:r>
          </w:p>
        </w:tc>
        <w:tc>
          <w:tcPr>
            <w:tcW w:type="dxa" w:w="2304"/>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AWS Service / Tool</w:t>
            </w:r>
          </w:p>
        </w:tc>
        <w:tc>
          <w:tcPr>
            <w:tcW w:type="dxa" w:w="3312"/>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Purpose</w:t>
            </w:r>
          </w:p>
        </w:tc>
        <w:tc>
          <w:tcPr>
            <w:tcW w:type="dxa" w:w="864"/>
            <w:tcBorders>
              <w:top w:val="single" w:sz="4" w:space="0" w:color="1F497D"/>
              <w:left w:val="single" w:sz="4" w:space="0" w:color="1F497D"/>
              <w:bottom w:val="single" w:sz="4" w:space="0" w:color="1F497D"/>
              <w:right w:val="single" w:sz="4" w:space="0" w:color="1F497D"/>
            </w:tcBorders>
            <w:shd w:val="clear" w:color="auto" w:fill="1F497D"/>
          </w:tcPr>
          <w:p>
            <w:pPr>
              <w:spacing w:before="40" w:after="40"/>
              <w:jc w:val="center"/>
            </w:pPr>
            <w:r>
              <w:rPr>
                <w:rFonts w:ascii="Calibri" w:hAnsi="Calibri"/>
                <w:b/>
                <w:i w:val="0"/>
                <w:color w:val="FFFFFF"/>
                <w:sz w:val="18"/>
              </w:rPr>
              <w:t>Diagram(s)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RDS SQL Server 2022 (Primary)</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Amazon RDS</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Target production database, read/write</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B, C, D, F</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RDS Multi-AZ Standby</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Amazon RDS (managed)</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Synchronous HA standby; automatic failover</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B</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RDS Proxy</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Amazon RDS Proxy</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Connection pooling, IAM auth, failover buffering</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B, F</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DMS Replication Instance</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AWS DMS</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Full load + CDC migration pipeline</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Schema Conversion Tool</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SCT</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Schema compatibility analysis &amp; conversion</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RDS DR Instance</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Amazon RDS</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Warm standby in secondary region</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C</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Cross-Region Snapshot Copy</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Backup</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DR snapshot replication to secondary region</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 G</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AWS Backup</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AWS Backup</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Automated backup orchestration &amp; PITR</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C, G</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Rubrik</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3rd-party (Rubrik)</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Enterprise backup visibility, compliance, drift</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 G</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AWS KMS CMK</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AWS KMS</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Encryption at rest for RDS, S3, Secrets Manager</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F</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Secrets Manager</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Secrets Manager</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RDS credential storage &amp; rotation</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F</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CloudWatch Metrics &amp; Alarms</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Amazon CloudWatch</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Performance metrics, alerting</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Performance Insights</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RDS Performance Insights</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Query-level performance analysis</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Enhanced Monitoring</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RDS Enhanced Monitoring</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1-second OS-level metrics</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CloudTrail</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AWS CloudTrail</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API audit logging</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E, F</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EventBridge</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Amazon EventBridge</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Event-driven automation (failover, task failure)</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SNS</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Amazon SNS</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Alert fan-out to PagerDuty / email / Slack</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S3</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Amazon S3</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DMS logs, staging, backup artefacts</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 G</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Route 53</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Amazon Route 53</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DNS failover for DR cutover</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C</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i w:val="0"/>
                <w:color w:val="0D0D0D"/>
                <w:sz w:val="18"/>
              </w:rPr>
              <w:t>VPC / Subnets / SGs</w:t>
            </w:r>
          </w:p>
        </w:tc>
        <w:tc>
          <w:tcPr>
            <w:tcW w:type="dxa" w:w="230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Amazon VPC</w:t>
            </w:r>
          </w:p>
        </w:tc>
        <w:tc>
          <w:tcPr>
            <w:tcW w:type="dxa" w:w="3312"/>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Network isolation and segmentation</w:t>
            </w:r>
          </w:p>
        </w:tc>
        <w:tc>
          <w:tcPr>
            <w:tcW w:type="dxa" w:w="864"/>
            <w:tcBorders>
              <w:top w:val="single" w:sz="4" w:space="0" w:color="CCCCCC"/>
              <w:left w:val="single" w:sz="4" w:space="0" w:color="CCCCCC"/>
              <w:bottom w:val="single" w:sz="4" w:space="0" w:color="CCCCCC"/>
              <w:right w:val="single" w:sz="4" w:space="0" w:color="CCCCCC"/>
            </w:tcBorders>
            <w:shd w:val="clear" w:color="auto" w:fill="F2F2F2"/>
          </w:tcPr>
          <w:p>
            <w:pPr>
              <w:spacing w:before="40" w:after="40"/>
              <w:jc w:val="left"/>
            </w:pPr>
            <w:r>
              <w:rPr>
                <w:rFonts w:ascii="Calibri" w:hAnsi="Calibri"/>
                <w:b w:val="0"/>
                <w:i w:val="0"/>
                <w:color w:val="0D0D0D"/>
                <w:sz w:val="18"/>
              </w:rPr>
              <w:t>F</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i w:val="0"/>
                <w:color w:val="0D0D0D"/>
                <w:sz w:val="18"/>
              </w:rPr>
              <w:t>Terraform</w:t>
            </w:r>
          </w:p>
        </w:tc>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HashiCorp Terraform</w:t>
            </w:r>
          </w:p>
        </w:tc>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IaC provisioning for all above components</w:t>
            </w:r>
          </w:p>
        </w:tc>
        <w:tc>
          <w:tcPr>
            <w:tcW w:type="dxa" w:w="864"/>
            <w:tcBorders>
              <w:top w:val="single" w:sz="4" w:space="0" w:color="CCCCCC"/>
              <w:left w:val="single" w:sz="4" w:space="0" w:color="CCCCCC"/>
              <w:bottom w:val="single" w:sz="4" w:space="0" w:color="CCCCCC"/>
              <w:right w:val="single" w:sz="4" w:space="0" w:color="CCCCCC"/>
            </w:tcBorders>
            <w:shd w:val="clear" w:color="auto" w:fill="FFFFFF"/>
          </w:tcPr>
          <w:p>
            <w:pPr>
              <w:spacing w:before="40" w:after="40"/>
              <w:jc w:val="left"/>
            </w:pPr>
            <w:r>
              <w:rPr>
                <w:rFonts w:ascii="Calibri" w:hAnsi="Calibri"/>
                <w:b w:val="0"/>
                <w:i w:val="0"/>
                <w:color w:val="0D0D0D"/>
                <w:sz w:val="18"/>
              </w:rPr>
              <w:t>All</w:t>
            </w:r>
          </w:p>
        </w:tc>
      </w:tr>
    </w:tbl>
    <w:p/>
    <w:p>
      <w:r>
        <w:br w:type="page"/>
      </w:r>
    </w:p>
    <w:p>
      <w:pPr>
        <w:jc w:val="center"/>
      </w:pPr>
      <w:r>
        <w:rPr>
          <w:rFonts w:ascii="Calibri" w:hAnsi="Calibri"/>
          <w:i/>
          <w:color w:val="808080"/>
          <w:sz w:val="18"/>
        </w:rPr>
        <w:t>Architecture Diagram Description  |  MSSQL Migration  |  Generali Global Assistance  ×  Nagarro  |  March 2026</w:t>
        <w:br/>
        <w:t>Confidential — For internal review and implementation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