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CLOUD HOSTING AND MANAGED SERVICES </w:t>
      </w:r>
      <w:r>
        <w:rPr>
          <w:spacing w:val="-2"/>
        </w:rPr>
        <w:t>AGREEMENT</w:t>
      </w:r>
    </w:p>
    <w:p>
      <w:pPr>
        <w:pStyle w:val="BodyText"/>
        <w:spacing w:before="184"/>
        <w:jc w:val="center"/>
      </w:pPr>
      <w:r>
        <w:rPr/>
        <w:t>Contract No: CLM-2026-</w:t>
      </w:r>
      <w:r>
        <w:rPr>
          <w:spacing w:val="-5"/>
        </w:rPr>
        <w:t>003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990600</wp:posOffset>
                </wp:positionH>
                <wp:positionV relativeFrom="paragraph">
                  <wp:posOffset>100362</wp:posOffset>
                </wp:positionV>
                <wp:extent cx="57912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7.902539pt;width:456pt;height:.1pt;mso-position-horizontal-relative:page;mso-position-vertical-relative:paragraph;z-index:-15728640;mso-wrap-distance-left:0;mso-wrap-distance-right:0" id="docshape1" coordorigin="1560,158" coordsize="9120,0" path="m1560,158l10680,158e" filled="false" stroked="true" strokeweight="1pt" strokecolor="#80808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22"/>
        <w:ind w:left="120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Effective Date: </w:t>
      </w:r>
      <w:r>
        <w:rPr>
          <w:rFonts w:ascii="Arial"/>
          <w:b/>
          <w:sz w:val="20"/>
        </w:rPr>
        <w:t>April 1, </w:t>
      </w:r>
      <w:r>
        <w:rPr>
          <w:rFonts w:ascii="Arial"/>
          <w:b/>
          <w:spacing w:val="-4"/>
          <w:sz w:val="20"/>
        </w:rPr>
        <w:t>2026</w:t>
      </w:r>
    </w:p>
    <w:p>
      <w:pPr>
        <w:spacing w:before="170"/>
        <w:ind w:left="12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Emerald Bay Technologies (Pvt) Ltd</w:t>
      </w:r>
      <w:r>
        <w:rPr>
          <w:sz w:val="20"/>
        </w:rPr>
        <w:t>, No. 22, Flower Road, Colombo 07 </w:t>
      </w:r>
      <w:r>
        <w:rPr>
          <w:spacing w:val="-2"/>
          <w:sz w:val="20"/>
        </w:rPr>
        <w:t>("Customer"),</w:t>
      </w:r>
    </w:p>
    <w:p>
      <w:pPr>
        <w:pStyle w:val="BodyText"/>
        <w:spacing w:before="50"/>
        <w:jc w:val="center"/>
      </w:pPr>
      <w:r>
        <w:rPr>
          <w:spacing w:val="-5"/>
        </w:rPr>
        <w:t>AND</w:t>
      </w:r>
    </w:p>
    <w:p>
      <w:pPr>
        <w:spacing w:before="10"/>
        <w:ind w:left="12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CloudSphere Lanka (Pvt) Ltd</w:t>
      </w:r>
      <w:r>
        <w:rPr>
          <w:sz w:val="20"/>
        </w:rPr>
        <w:t>, No. 55, Nawam Mawatha, Colombo 02 </w:t>
      </w:r>
      <w:r>
        <w:rPr>
          <w:spacing w:val="-2"/>
          <w:sz w:val="20"/>
        </w:rPr>
        <w:t>("Provider").</w:t>
      </w:r>
    </w:p>
    <w:p>
      <w:pPr>
        <w:pStyle w:val="BodyText"/>
        <w:spacing w:before="62"/>
      </w:pPr>
    </w:p>
    <w:p>
      <w:pPr>
        <w:pStyle w:val="Heading2"/>
        <w:numPr>
          <w:ilvl w:val="0"/>
          <w:numId w:val="1"/>
        </w:numPr>
        <w:tabs>
          <w:tab w:pos="386" w:val="left" w:leader="none"/>
        </w:tabs>
        <w:spacing w:line="240" w:lineRule="auto" w:before="1" w:after="0"/>
        <w:ind w:left="386" w:right="0" w:hanging="266"/>
        <w:jc w:val="left"/>
      </w:pPr>
      <w:r>
        <w:rPr>
          <w:spacing w:val="-2"/>
        </w:rPr>
        <w:t>SERVICES</w:t>
      </w:r>
    </w:p>
    <w:p>
      <w:pPr>
        <w:pStyle w:val="BodyText"/>
        <w:spacing w:line="292" w:lineRule="auto" w:before="201"/>
        <w:ind w:left="120" w:right="116"/>
        <w:jc w:val="both"/>
      </w:pPr>
      <w:r>
        <w:rPr/>
        <w:t>Provider shall deliver the following cloud hosting services: (a) Dedicated virtual private </w:t>
      </w:r>
      <w:r>
        <w:rPr/>
        <w:t>cloud environment with 64 vCPUs, 256 GB RAM, and 10 TB SSD storage, (b) Managed Kubernetes cluster with auto-scaling capabilities, (c) Content Delivery Network (CDN) with 15 global edge locations, (d) Managed</w:t>
      </w:r>
      <w:r>
        <w:rPr>
          <w:spacing w:val="-3"/>
        </w:rPr>
        <w:t> </w:t>
      </w:r>
      <w:r>
        <w:rPr/>
        <w:t>PostgreSQL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Redis</w:t>
      </w:r>
      <w:r>
        <w:rPr>
          <w:spacing w:val="-3"/>
        </w:rPr>
        <w:t> </w:t>
      </w:r>
      <w:r>
        <w:rPr/>
        <w:t>database</w:t>
      </w:r>
      <w:r>
        <w:rPr>
          <w:spacing w:val="-3"/>
        </w:rPr>
        <w:t> </w:t>
      </w:r>
      <w:r>
        <w:rPr/>
        <w:t>services,</w:t>
      </w:r>
      <w:r>
        <w:rPr>
          <w:spacing w:val="-3"/>
        </w:rPr>
        <w:t> </w:t>
      </w:r>
      <w:r>
        <w:rPr/>
        <w:t>(e)</w:t>
      </w:r>
      <w:r>
        <w:rPr>
          <w:spacing w:val="-3"/>
        </w:rPr>
        <w:t> </w:t>
      </w:r>
      <w:r>
        <w:rPr/>
        <w:t>DDoS</w:t>
      </w:r>
      <w:r>
        <w:rPr>
          <w:spacing w:val="-3"/>
        </w:rPr>
        <w:t> </w:t>
      </w:r>
      <w:r>
        <w:rPr/>
        <w:t>protection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Web</w:t>
      </w:r>
      <w:r>
        <w:rPr>
          <w:spacing w:val="-3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Firewall (WAF), (f) Automated daily backups with 30-day retention and geo-redundant storage, and (g) 24/7 infrastructure monitoring with real-time alerting.</w:t>
      </w:r>
    </w:p>
    <w:p>
      <w:pPr>
        <w:pStyle w:val="BodyText"/>
        <w:spacing w:before="9"/>
      </w:pPr>
    </w:p>
    <w:p>
      <w:pPr>
        <w:pStyle w:val="Heading2"/>
        <w:numPr>
          <w:ilvl w:val="0"/>
          <w:numId w:val="1"/>
        </w:numPr>
        <w:tabs>
          <w:tab w:pos="386" w:val="left" w:leader="none"/>
        </w:tabs>
        <w:spacing w:line="240" w:lineRule="auto" w:before="0" w:after="0"/>
        <w:ind w:left="386" w:right="0" w:hanging="266"/>
        <w:jc w:val="left"/>
      </w:pPr>
      <w:r>
        <w:rPr/>
        <w:t>UPTIME </w:t>
      </w:r>
      <w:r>
        <w:rPr>
          <w:spacing w:val="-2"/>
        </w:rPr>
        <w:t>GUARANTEE</w:t>
      </w:r>
    </w:p>
    <w:p>
      <w:pPr>
        <w:pStyle w:val="BodyText"/>
        <w:spacing w:line="292" w:lineRule="auto" w:before="202"/>
        <w:ind w:left="120" w:right="116"/>
        <w:jc w:val="both"/>
      </w:pPr>
      <w:r>
        <w:rPr/>
        <w:t>Provider guarantees </w:t>
      </w:r>
      <w:r>
        <w:rPr>
          <w:rFonts w:ascii="Arial"/>
          <w:b/>
        </w:rPr>
        <w:t>99.95% monthly uptime </w:t>
      </w:r>
      <w:r>
        <w:rPr/>
        <w:t>for all production services. Uptime is calculated as: (Total minutes in month - Downtime minutes) / Total minutes in month x 100. Scheduled maintenance windows (maximum 4 hours/month, between 2:00 AM - 6:00 AM IST) are excluded from </w:t>
      </w:r>
      <w:r>
        <w:rPr/>
        <w:t>uptime calculations. Unscheduled downtime exceeding the SLA will result in service credits as defined in Section 5.</w:t>
      </w:r>
    </w:p>
    <w:p>
      <w:pPr>
        <w:pStyle w:val="BodyText"/>
        <w:spacing w:before="9"/>
      </w:pPr>
    </w:p>
    <w:p>
      <w:pPr>
        <w:pStyle w:val="Heading2"/>
        <w:numPr>
          <w:ilvl w:val="0"/>
          <w:numId w:val="1"/>
        </w:numPr>
        <w:tabs>
          <w:tab w:pos="386" w:val="left" w:leader="none"/>
        </w:tabs>
        <w:spacing w:line="240" w:lineRule="auto" w:before="0" w:after="0"/>
        <w:ind w:left="386" w:right="0" w:hanging="266"/>
        <w:jc w:val="left"/>
      </w:pPr>
      <w:r>
        <w:rPr/>
        <w:t>CONTRACT TERM AND </w:t>
      </w:r>
      <w:r>
        <w:rPr>
          <w:spacing w:val="-2"/>
        </w:rPr>
        <w:t>VALUE</w:t>
      </w:r>
    </w:p>
    <w:p>
      <w:pPr>
        <w:pStyle w:val="BodyText"/>
        <w:spacing w:line="292" w:lineRule="auto" w:before="202"/>
        <w:ind w:left="120" w:right="117"/>
        <w:jc w:val="both"/>
      </w:pPr>
      <w:r>
        <w:rPr/>
        <w:t>Term: </w:t>
      </w:r>
      <w:r>
        <w:rPr>
          <w:rFonts w:ascii="Arial"/>
          <w:b/>
        </w:rPr>
        <w:t>36 months </w:t>
      </w:r>
      <w:r>
        <w:rPr/>
        <w:t>(April 1, 2026 - March 31, 2029). Monthly fee: </w:t>
      </w:r>
      <w:r>
        <w:rPr>
          <w:rFonts w:ascii="Arial"/>
          <w:b/>
        </w:rPr>
        <w:t>USD 4,800</w:t>
      </w:r>
      <w:r>
        <w:rPr/>
        <w:t>. Total contract value: </w:t>
      </w:r>
      <w:r>
        <w:rPr>
          <w:rFonts w:ascii="Arial"/>
          <w:b/>
        </w:rPr>
        <w:t>USD 172,800</w:t>
      </w:r>
      <w:r>
        <w:rPr/>
        <w:t>. Payment terms: Net 15 days from invoice date. Annual price escalation capped at 5%. Early termination fee: Remaining months at 50% of monthly rate.</w:t>
      </w:r>
    </w:p>
    <w:p>
      <w:pPr>
        <w:pStyle w:val="BodyText"/>
        <w:spacing w:before="11"/>
      </w:pPr>
    </w:p>
    <w:p>
      <w:pPr>
        <w:pStyle w:val="Heading2"/>
        <w:numPr>
          <w:ilvl w:val="0"/>
          <w:numId w:val="1"/>
        </w:numPr>
        <w:tabs>
          <w:tab w:pos="386" w:val="left" w:leader="none"/>
        </w:tabs>
        <w:spacing w:line="240" w:lineRule="auto" w:before="0" w:after="0"/>
        <w:ind w:left="386" w:right="0" w:hanging="266"/>
        <w:jc w:val="left"/>
      </w:pPr>
      <w:r>
        <w:rPr/>
        <w:t>DATA </w:t>
      </w:r>
      <w:r>
        <w:rPr>
          <w:spacing w:val="-2"/>
        </w:rPr>
        <w:t>SOVEREIGNTY</w:t>
      </w:r>
    </w:p>
    <w:p>
      <w:pPr>
        <w:pStyle w:val="BodyText"/>
        <w:spacing w:line="292" w:lineRule="auto" w:before="201"/>
        <w:ind w:left="120" w:right="117"/>
        <w:jc w:val="both"/>
      </w:pPr>
      <w:r>
        <w:rPr/>
        <w:t>All primary data shall be stored within data centers located in Singapore and India. No Customer </w:t>
      </w:r>
      <w:r>
        <w:rPr/>
        <w:t>data shall be transferred to, processed in, or accessible from data centers outside the Asia-Pacific region without prior written consent. Provider shall maintain SOC 2 Type II and ISO 27001 certifications for all data centers used.</w:t>
      </w:r>
    </w:p>
    <w:p>
      <w:pPr>
        <w:pStyle w:val="BodyText"/>
        <w:spacing w:before="10"/>
      </w:pPr>
    </w:p>
    <w:p>
      <w:pPr>
        <w:pStyle w:val="Heading2"/>
        <w:numPr>
          <w:ilvl w:val="0"/>
          <w:numId w:val="1"/>
        </w:numPr>
        <w:tabs>
          <w:tab w:pos="386" w:val="left" w:leader="none"/>
        </w:tabs>
        <w:spacing w:line="240" w:lineRule="auto" w:before="0" w:after="0"/>
        <w:ind w:left="386" w:right="0" w:hanging="266"/>
        <w:jc w:val="left"/>
      </w:pPr>
      <w:r>
        <w:rPr/>
        <w:t>SERVICE </w:t>
      </w:r>
      <w:r>
        <w:rPr>
          <w:spacing w:val="-2"/>
        </w:rPr>
        <w:t>CREDITS</w:t>
      </w:r>
    </w:p>
    <w:p>
      <w:pPr>
        <w:pStyle w:val="BodyText"/>
        <w:spacing w:after="1"/>
        <w:rPr>
          <w:rFonts w:ascii="Arial"/>
          <w:b/>
          <w:sz w:val="16"/>
        </w:rPr>
      </w:pPr>
    </w:p>
    <w:tbl>
      <w:tblPr>
        <w:tblW w:w="0" w:type="auto"/>
        <w:jc w:val="left"/>
        <w:tblInd w:w="68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0"/>
        <w:gridCol w:w="4800"/>
      </w:tblGrid>
      <w:tr>
        <w:trPr>
          <w:trHeight w:val="350" w:hRule="atLeast"/>
        </w:trPr>
        <w:tc>
          <w:tcPr>
            <w:tcW w:w="3200" w:type="dxa"/>
            <w:shd w:val="clear" w:color="auto" w:fill="26AE60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FFFFFF"/>
                <w:sz w:val="18"/>
              </w:rPr>
              <w:t>Monthly Uptime </w:t>
            </w:r>
            <w:r>
              <w:rPr>
                <w:color w:val="FFFFFF"/>
                <w:spacing w:val="-10"/>
                <w:sz w:val="18"/>
              </w:rPr>
              <w:t>%</w:t>
            </w:r>
          </w:p>
        </w:tc>
        <w:tc>
          <w:tcPr>
            <w:tcW w:w="4800" w:type="dxa"/>
            <w:shd w:val="clear" w:color="auto" w:fill="26AE60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FFFFFF"/>
                <w:sz w:val="18"/>
              </w:rPr>
              <w:t>Service </w:t>
            </w:r>
            <w:r>
              <w:rPr>
                <w:color w:val="FFFFFF"/>
                <w:spacing w:val="-2"/>
                <w:sz w:val="18"/>
              </w:rPr>
              <w:t>Credit</w:t>
            </w:r>
          </w:p>
        </w:tc>
      </w:tr>
      <w:tr>
        <w:trPr>
          <w:trHeight w:val="350" w:hRule="atLeast"/>
        </w:trPr>
        <w:tc>
          <w:tcPr>
            <w:tcW w:w="32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99.0% - </w:t>
            </w:r>
            <w:r>
              <w:rPr>
                <w:spacing w:val="-2"/>
                <w:sz w:val="18"/>
              </w:rPr>
              <w:t>99.95%</w:t>
            </w:r>
          </w:p>
        </w:tc>
        <w:tc>
          <w:tcPr>
            <w:tcW w:w="48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10% of monthly </w:t>
            </w:r>
            <w:r>
              <w:rPr>
                <w:spacing w:val="-5"/>
                <w:sz w:val="18"/>
              </w:rPr>
              <w:t>fee</w:t>
            </w:r>
          </w:p>
        </w:tc>
      </w:tr>
      <w:tr>
        <w:trPr>
          <w:trHeight w:val="350" w:hRule="atLeast"/>
        </w:trPr>
        <w:tc>
          <w:tcPr>
            <w:tcW w:w="3200" w:type="dxa"/>
            <w:shd w:val="clear" w:color="auto" w:fill="E9F9F0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95.0% - </w:t>
            </w:r>
            <w:r>
              <w:rPr>
                <w:spacing w:val="-2"/>
                <w:sz w:val="18"/>
              </w:rPr>
              <w:t>98.99%</w:t>
            </w:r>
          </w:p>
        </w:tc>
        <w:tc>
          <w:tcPr>
            <w:tcW w:w="4800" w:type="dxa"/>
            <w:shd w:val="clear" w:color="auto" w:fill="E9F9F0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25% of monthly </w:t>
            </w:r>
            <w:r>
              <w:rPr>
                <w:spacing w:val="-5"/>
                <w:sz w:val="18"/>
              </w:rPr>
              <w:t>fee</w:t>
            </w:r>
          </w:p>
        </w:tc>
      </w:tr>
      <w:tr>
        <w:trPr>
          <w:trHeight w:val="350" w:hRule="atLeast"/>
        </w:trPr>
        <w:tc>
          <w:tcPr>
            <w:tcW w:w="32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90.0% - </w:t>
            </w:r>
            <w:r>
              <w:rPr>
                <w:spacing w:val="-2"/>
                <w:sz w:val="18"/>
              </w:rPr>
              <w:t>94.99%</w:t>
            </w:r>
          </w:p>
        </w:tc>
        <w:tc>
          <w:tcPr>
            <w:tcW w:w="48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50% of monthly </w:t>
            </w:r>
            <w:r>
              <w:rPr>
                <w:spacing w:val="-5"/>
                <w:sz w:val="18"/>
              </w:rPr>
              <w:t>fee</w:t>
            </w:r>
          </w:p>
        </w:tc>
      </w:tr>
      <w:tr>
        <w:trPr>
          <w:trHeight w:val="350" w:hRule="atLeast"/>
        </w:trPr>
        <w:tc>
          <w:tcPr>
            <w:tcW w:w="3200" w:type="dxa"/>
            <w:shd w:val="clear" w:color="auto" w:fill="E9F9F0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Below </w:t>
            </w:r>
            <w:r>
              <w:rPr>
                <w:spacing w:val="-2"/>
                <w:sz w:val="18"/>
              </w:rPr>
              <w:t>90.0%</w:t>
            </w:r>
          </w:p>
        </w:tc>
        <w:tc>
          <w:tcPr>
            <w:tcW w:w="4800" w:type="dxa"/>
            <w:shd w:val="clear" w:color="auto" w:fill="E9F9F0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100% of monthly fee + right to </w:t>
            </w:r>
            <w:r>
              <w:rPr>
                <w:spacing w:val="-2"/>
                <w:sz w:val="18"/>
              </w:rPr>
              <w:t>terminate</w:t>
            </w:r>
          </w:p>
        </w:tc>
      </w:tr>
    </w:tbl>
    <w:p>
      <w:pPr>
        <w:pStyle w:val="Heading2"/>
        <w:numPr>
          <w:ilvl w:val="0"/>
          <w:numId w:val="1"/>
        </w:numPr>
        <w:tabs>
          <w:tab w:pos="386" w:val="left" w:leader="none"/>
        </w:tabs>
        <w:spacing w:line="240" w:lineRule="auto" w:before="250" w:after="0"/>
        <w:ind w:left="386" w:right="0" w:hanging="266"/>
        <w:jc w:val="left"/>
      </w:pPr>
      <w:r>
        <w:rPr/>
        <w:t>DISASTER </w:t>
      </w:r>
      <w:r>
        <w:rPr>
          <w:spacing w:val="-2"/>
        </w:rPr>
        <w:t>RECOVERY</w:t>
      </w:r>
    </w:p>
    <w:p>
      <w:pPr>
        <w:pStyle w:val="Heading2"/>
        <w:spacing w:after="0" w:line="240" w:lineRule="auto"/>
        <w:jc w:val="left"/>
        <w:sectPr>
          <w:type w:val="continuous"/>
          <w:pgSz w:w="12240" w:h="15840"/>
          <w:pgMar w:top="1160" w:bottom="280" w:left="1440" w:right="1440"/>
        </w:sectPr>
      </w:pPr>
    </w:p>
    <w:p>
      <w:pPr>
        <w:pStyle w:val="BodyText"/>
        <w:spacing w:line="292" w:lineRule="auto" w:before="72"/>
        <w:ind w:left="120" w:right="117"/>
        <w:jc w:val="both"/>
      </w:pPr>
      <w:r>
        <w:rPr/>
        <w:t>Provider shall maintain a disaster recovery site with Recovery Point Objective (RPO) of 1 hour </w:t>
      </w:r>
      <w:r>
        <w:rPr/>
        <w:t>and Recovery Time Objective (RTO) of 4 hours. DR failover testing shall be conducted quarterly with Customer participation. Provider shall provide detailed DR test reports within 5 business days of each </w:t>
      </w:r>
      <w:r>
        <w:rPr>
          <w:spacing w:val="-2"/>
        </w:rPr>
        <w:t>test.</w:t>
      </w:r>
    </w:p>
    <w:p>
      <w:pPr>
        <w:pStyle w:val="BodyText"/>
        <w:spacing w:before="168"/>
      </w:pPr>
    </w:p>
    <w:p>
      <w:pPr>
        <w:pStyle w:val="Heading3"/>
        <w:jc w:val="both"/>
      </w:pPr>
      <w:r>
        <w:rPr/>
        <w:t>Emerald Bay Technologies (Pvt) </w:t>
      </w:r>
      <w:r>
        <w:rPr>
          <w:spacing w:val="-5"/>
        </w:rPr>
        <w:t>Ltd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37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990600</wp:posOffset>
                </wp:positionH>
                <wp:positionV relativeFrom="paragraph">
                  <wp:posOffset>184958</wp:posOffset>
                </wp:positionV>
                <wp:extent cx="176593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765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5935" h="0">
                              <a:moveTo>
                                <a:pt x="0" y="0"/>
                              </a:moveTo>
                              <a:lnTo>
                                <a:pt x="176578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14.563672pt;width:139.050pt;height:.1pt;mso-position-horizontal-relative:page;mso-position-vertical-relative:paragraph;z-index:-15728128;mso-wrap-distance-left:0;mso-wrap-distance-right:0" id="docshape2" coordorigin="1560,291" coordsize="2781,0" path="m1560,291l4341,291e" filled="false" stroked="true" strokeweight=".6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78" w:lineRule="auto" w:before="51"/>
        <w:ind w:left="120" w:right="5876" w:firstLine="0"/>
        <w:jc w:val="left"/>
        <w:rPr>
          <w:sz w:val="18"/>
        </w:rPr>
      </w:pPr>
      <w:r>
        <w:rPr>
          <w:sz w:val="18"/>
        </w:rPr>
        <w:t>Amaya</w:t>
      </w:r>
      <w:r>
        <w:rPr>
          <w:spacing w:val="-13"/>
          <w:sz w:val="18"/>
        </w:rPr>
        <w:t> </w:t>
      </w:r>
      <w:r>
        <w:rPr>
          <w:sz w:val="18"/>
        </w:rPr>
        <w:t>Dissanayake,</w:t>
      </w:r>
      <w:r>
        <w:rPr>
          <w:spacing w:val="-12"/>
          <w:sz w:val="18"/>
        </w:rPr>
        <w:t> </w:t>
      </w:r>
      <w:r>
        <w:rPr>
          <w:sz w:val="18"/>
        </w:rPr>
        <w:t>VP</w:t>
      </w:r>
      <w:r>
        <w:rPr>
          <w:spacing w:val="-13"/>
          <w:sz w:val="18"/>
        </w:rPr>
        <w:t> </w:t>
      </w:r>
      <w:r>
        <w:rPr>
          <w:sz w:val="18"/>
        </w:rPr>
        <w:t>Engineering Date: March 28, 2026</w:t>
      </w:r>
    </w:p>
    <w:p>
      <w:pPr>
        <w:pStyle w:val="BodyText"/>
        <w:spacing w:before="194"/>
        <w:rPr>
          <w:sz w:val="18"/>
        </w:rPr>
      </w:pPr>
    </w:p>
    <w:p>
      <w:pPr>
        <w:pStyle w:val="Heading3"/>
      </w:pPr>
      <w:r>
        <w:rPr/>
        <w:t>CloudSphere Lanka (Pvt) </w:t>
      </w:r>
      <w:r>
        <w:rPr>
          <w:spacing w:val="-5"/>
        </w:rPr>
        <w:t>Ltd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37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990600</wp:posOffset>
                </wp:positionH>
                <wp:positionV relativeFrom="paragraph">
                  <wp:posOffset>185151</wp:posOffset>
                </wp:positionV>
                <wp:extent cx="176593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765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5935" h="0">
                              <a:moveTo>
                                <a:pt x="0" y="0"/>
                              </a:moveTo>
                              <a:lnTo>
                                <a:pt x="176578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14.578848pt;width:139.050pt;height:.1pt;mso-position-horizontal-relative:page;mso-position-vertical-relative:paragraph;z-index:-15727616;mso-wrap-distance-left:0;mso-wrap-distance-right:0" id="docshape3" coordorigin="1560,292" coordsize="2781,0" path="m1560,292l4341,292e" filled="false" stroked="true" strokeweight=".6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78" w:lineRule="auto" w:before="51"/>
        <w:ind w:left="120" w:right="7006" w:firstLine="0"/>
        <w:jc w:val="left"/>
        <w:rPr>
          <w:sz w:val="18"/>
        </w:rPr>
      </w:pPr>
      <w:r>
        <w:rPr>
          <w:sz w:val="18"/>
        </w:rPr>
        <w:t>Lakshan</w:t>
      </w:r>
      <w:r>
        <w:rPr>
          <w:spacing w:val="-13"/>
          <w:sz w:val="18"/>
        </w:rPr>
        <w:t> </w:t>
      </w:r>
      <w:r>
        <w:rPr>
          <w:sz w:val="18"/>
        </w:rPr>
        <w:t>de</w:t>
      </w:r>
      <w:r>
        <w:rPr>
          <w:spacing w:val="-12"/>
          <w:sz w:val="18"/>
        </w:rPr>
        <w:t> </w:t>
      </w:r>
      <w:r>
        <w:rPr>
          <w:sz w:val="18"/>
        </w:rPr>
        <w:t>Silva,</w:t>
      </w:r>
      <w:r>
        <w:rPr>
          <w:spacing w:val="-13"/>
          <w:sz w:val="18"/>
        </w:rPr>
        <w:t> </w:t>
      </w:r>
      <w:r>
        <w:rPr>
          <w:sz w:val="18"/>
        </w:rPr>
        <w:t>CEO Date: March 28, 2026</w:t>
      </w:r>
    </w:p>
    <w:sectPr>
      <w:pgSz w:w="12240" w:h="15840"/>
      <w:pgMar w:top="11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86" w:hanging="2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8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6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4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2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0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8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6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4" w:hanging="26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jc w:val="center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86" w:hanging="266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20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86" w:hanging="266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6"/>
      <w:ind w:left="10"/>
      <w:jc w:val="center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2026-05-05T06:10:06Z</dcterms:created>
  <dcterms:modified xsi:type="dcterms:W3CDTF">2026-05-05T06:10:06Z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2026-04-11T00:00:00Z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2026-05-05T00:00:00Z</vt:filetime>
  </property>
  <property fmtid="{D5CDD505-2E9C-101B-9397-08002B2CF9AE}" pid="6" name="Producer">
    <vt:lpwstr>ReportLab PDF Library - (opensource)</vt:lpwstr>
  </property>
</Properties>
</file>