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IT3101 – Data Warehousing and Business Intelligence</w:t>
      </w:r>
    </w:p>
    <w:p>
      <w:pPr>
        <w:spacing w:after="60"/>
        <w:jc w:val="center"/>
      </w:pPr>
      <w:r>
        <w:rPr>
          <w:rFonts w:ascii="Calibri" w:cs="Calibri" w:eastAsia="Calibri" w:hAnsi="Calibri"/>
          <w:sz w:val="24"/>
          <w:szCs w:val="24"/>
        </w:rPr>
        <w:t xml:space="preserve">Assignment: Design and Implementation of a Data Warehouse and Business Intelligence Solution</w:t>
      </w:r>
    </w:p>
    <w:p>
      <w:pPr>
        <w:spacing w:after="60"/>
        <w:jc w:val="center"/>
      </w:pPr>
      <w:r>
        <w:rPr>
          <w:rFonts w:ascii="Calibri" w:cs="Calibri" w:eastAsia="Calibri" w:hAnsi="Calibri"/>
          <w:b/>
          <w:bCs/>
          <w:sz w:val="26"/>
          <w:szCs w:val="26"/>
        </w:rPr>
        <w:t xml:space="preserve">Member 1 Deliverable: Tasks 1 and 2</w:t>
      </w:r>
    </w:p>
    <w:p>
      <w:pPr>
        <w:spacing w:after="400"/>
        <w:jc w:val="center"/>
      </w:pPr>
      <w:r>
        <w:rPr>
          <w:rFonts w:ascii="Calibri" w:cs="Calibri" w:eastAsia="Calibri" w:hAnsi="Calibri"/>
          <w:i/>
          <w:iCs/>
          <w:sz w:val="22"/>
          <w:szCs w:val="22"/>
        </w:rPr>
        <w:t xml:space="preserve">Prepared by: Zacky Ahmed (Member 1)</w:t>
      </w:r>
    </w:p>
    <w:p>
      <w:pPr>
        <w:pStyle w:val="Heading1"/>
        <w:spacing w:after="160" w:before="320"/>
      </w:pPr>
      <w:r>
        <w:rPr>
          <w:rFonts w:ascii="Calibri" w:cs="Calibri" w:eastAsia="Calibri" w:hAnsi="Calibri"/>
          <w:b/>
          <w:bCs/>
        </w:rPr>
        <w:t xml:space="preserve">Task 1: Dataset Selection and Business Scenario Identification</w:t>
      </w:r>
    </w:p>
    <w:p>
      <w:pPr>
        <w:pStyle w:val="Heading2"/>
        <w:spacing w:after="120" w:before="260"/>
      </w:pPr>
      <w:r>
        <w:rPr>
          <w:rFonts w:ascii="Calibri" w:cs="Calibri" w:eastAsia="Calibri" w:hAnsi="Calibri"/>
          <w:b/>
          <w:bCs/>
        </w:rPr>
        <w:t xml:space="preserve">Dataset Overview</w:t>
      </w:r>
    </w:p>
    <w:p>
      <w:pPr>
        <w:spacing w:after="120"/>
      </w:pPr>
      <w:r>
        <w:rPr>
          <w:rFonts w:ascii="Calibri" w:cs="Calibri" w:eastAsia="Calibri" w:hAnsi="Calibri"/>
          <w:b/>
          <w:bCs/>
        </w:rPr>
        <w:t xml:space="preserve">Business domain: </w:t>
      </w:r>
      <w:r>
        <w:rPr>
          <w:rFonts w:ascii="Calibri" w:cs="Calibri" w:eastAsia="Calibri" w:hAnsi="Calibri"/>
        </w:rPr>
        <w:t xml:space="preserve">Banking and Finance.</w:t>
      </w:r>
    </w:p>
    <w:p>
      <w:pPr>
        <w:spacing w:after="120"/>
      </w:pPr>
      <w:r>
        <w:rPr>
          <w:rFonts w:ascii="Calibri" w:cs="Calibri" w:eastAsia="Calibri" w:hAnsi="Calibri"/>
          <w:b/>
          <w:bCs/>
        </w:rPr>
        <w:t xml:space="preserve">Purpose of the system: </w:t>
      </w:r>
      <w:r>
        <w:rPr>
          <w:rFonts w:ascii="Calibri" w:cs="Calibri" w:eastAsia="Calibri" w:hAnsi="Calibri"/>
        </w:rPr>
        <w:t xml:space="preserve">The dataset represents the core operational database of a retail bank, covering client accounts, account holders, standing payment orders, individual transactions, loans and credit cards, together with demographic data for the districts the bank operates in. In production, this kind of system supports the bank's day to day operations: opening accounts, processing transactions, issuing loans and cards, and tracking account activity.</w:t>
      </w:r>
    </w:p>
    <w:p>
      <w:pPr>
        <w:spacing w:after="120"/>
      </w:pPr>
      <w:r>
        <w:rPr>
          <w:rFonts w:ascii="Calibri" w:cs="Calibri" w:eastAsia="Calibri" w:hAnsi="Calibri"/>
          <w:b/>
          <w:bCs/>
        </w:rPr>
        <w:t xml:space="preserve">Business problem addressed: </w:t>
      </w:r>
      <w:r>
        <w:rPr>
          <w:rFonts w:ascii="Calibri" w:cs="Calibri" w:eastAsia="Calibri" w:hAnsi="Calibri"/>
        </w:rPr>
        <w:t xml:space="preserve">The bank's operational database is optimised for recording individual transactions, not for analysis. Management has no consolidated view of account activity trends, loan performance, or regional differences in customer behaviour. This makes it difficult to answer questions such as which districts generate the most deposits and withdrawals, how account balances trend over time, whether loan repayment status relates to account activity, and which customer segments hold cards versus loans. A data warehouse and BI layer built on top of this operational data addresses that gap by consolidating the data into a form suited to trend analysis, segmentation and executive reporting.</w:t>
      </w:r>
    </w:p>
    <w:p>
      <w:pPr>
        <w:spacing w:after="160"/>
      </w:pPr>
      <w:r>
        <w:rPr>
          <w:rFonts w:ascii="Calibri" w:cs="Calibri" w:eastAsia="Calibri" w:hAnsi="Calibri"/>
          <w:b w:val="false"/>
          <w:bCs w:val="false"/>
        </w:rPr>
        <w:t xml:space="preserve">Dataset source: The PKDD'99 Financial Dataset, also known as the Berka dataset, originally prepared by Petr Berka and Marta Sochorova for the PKDD'99 Discovery Challenge, using real anonymised data from a Czech bank. The team obtained the data from the Kaggle mirror “1999 Czech Financial Dataset” (uploaded by mariammariamr), downloaded as CSV files covering all eight tables. To satisfy the assignment's multiple source type requirement, the team then restructured card into JSON and loan into Excel, and separated district out as its own source, while the remaining five tables stayed grouped as CSV. A fifth, genuinely external source, a public holidays API, was added separately to enrich the Date dimension. The exact restructuring and the reasoning behind it is set out in full in Task 2.</w:t>
      </w:r>
    </w:p>
    <w:p>
      <w:pPr>
        <w:spacing w:after="120"/>
      </w:pPr>
      <w:r>
        <w:rPr>
          <w:rFonts w:ascii="Calibri" w:cs="Calibri" w:eastAsia="Calibri" w:hAnsi="Calibri"/>
          <w:b/>
          <w:bCs/>
        </w:rPr>
        <w:t xml:space="preserve">Dataset format: </w:t>
      </w:r>
      <w:r>
        <w:rPr>
          <w:rFonts w:ascii="Calibri" w:cs="Calibri" w:eastAsia="Calibri" w:hAnsi="Calibri"/>
        </w:rPr>
        <w:t xml:space="preserve">Five sources in total, spanning four file formats: CSV (used for two separate sources, the core tables and the district reference file), a Microsoft Excel workbook, a JSON file, and a REST API, together covering the same eight related banking tables plus the holiday data: account, client, disp (disposition), order (permanent order), trans (transaction), loan, card and district.</w:t>
      </w:r>
    </w:p>
    <w:p>
      <w:pPr>
        <w:pStyle w:val="Heading3"/>
        <w:spacing w:after="100" w:before="200"/>
      </w:pPr>
      <w:r>
        <w:rPr>
          <w:rFonts w:ascii="Calibri" w:cs="Calibri" w:eastAsia="Calibri" w:hAnsi="Calibri"/>
          <w:b/>
          <w:bCs/>
          <w:i/>
          <w:iCs/>
        </w:rPr>
        <w:t xml:space="preserve">Number of records</w:t>
      </w:r>
    </w:p>
    <w:p>
      <w:pPr>
        <w:spacing w:after="160"/>
      </w:pPr>
      <w:r>
        <w:rPr>
          <w:rFonts w:ascii="Calibri" w:cs="Calibri" w:eastAsia="Calibri" w:hAnsi="Calibri"/>
          <w:i/>
          <w:iCs/>
          <w:color w:val="B00000"/>
          <w:sz w:val="20"/>
          <w:szCs w:val="20"/>
        </w:rPr>
        <w:t xml:space="preserve">[Verify before final submission: confirm each count against your own downloaded and restructured files before submission]</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tblGrid>
      <w:tr>
        <w:tc>
          <w:tcPr>
            <w:tcW w:type="dxa" w:w="2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Table</w:t>
            </w:r>
          </w:p>
        </w:tc>
        <w:tc>
          <w:tcPr>
            <w:tcW w:type="dxa" w:w="22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Format (Source)</w:t>
            </w:r>
          </w:p>
        </w:tc>
        <w:tc>
          <w:tcPr>
            <w:tcW w:type="dxa" w:w="2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Record count</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account</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CSV (Source 1)</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4,500</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client</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CSV (Source 1)</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5,369</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disp</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CSV (Source 1)</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5,369</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district</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CSV (Source 4)</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77</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order</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CSV (Source 1)</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6,471</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trans</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CSV (Source 1)</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1,056,320</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loan</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Excel (Source 2)</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682</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card</w:t>
            </w:r>
          </w:p>
        </w:tc>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JSON (Source 3)</w:t>
            </w:r>
          </w:p>
        </w:tc>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892</w:t>
            </w:r>
          </w:p>
        </w:tc>
      </w:tr>
    </w:tbl>
    <w:p>
      <w:pPr>
        <w:spacing w:after="100" w:before="200"/>
      </w:pPr>
    </w:p>
    <w:p>
      <w:pPr>
        <w:pStyle w:val="Heading3"/>
        <w:spacing w:after="100" w:before="200"/>
      </w:pPr>
      <w:r>
        <w:rPr>
          <w:rFonts w:ascii="Calibri" w:cs="Calibri" w:eastAsia="Calibri" w:hAnsi="Calibri"/>
          <w:b/>
          <w:bCs/>
          <w:i/>
          <w:iCs/>
        </w:rPr>
        <w:t xml:space="preserve">Attributes description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6500"/>
      </w:tblGrid>
      <w:tr>
        <w:tc>
          <w:tcPr>
            <w:tcW w:type="dxa" w:w="28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Table</w:t>
            </w:r>
          </w:p>
        </w:tc>
        <w:tc>
          <w:tcPr>
            <w:tcW w:type="dxa" w:w="65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Key attributes</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account</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account_id, district_id, frequency of statement issuance, account creation date</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client</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client_id, birth date, gender, district_id</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disp</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disp_id, client_id, account_id, type (owner or disponent)</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order</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order_id, account_id, recipient bank and account, amount, payment purpose</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trans</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trans_id, account_id, date, type, operation, amount, balance after transaction, characterisation</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loan</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loan_id, account_id, date granted, amount, duration, monthly payment, status</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card</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card_id, disp_id, type (classic, junior, gold), issue date</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district</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district_id, name, region, population, number of municipalities, unemployment rate, average salary, entrepreneur ratio</w:t>
            </w:r>
          </w:p>
        </w:tc>
      </w:tr>
    </w:tbl>
    <w:p>
      <w:pPr>
        <w:pStyle w:val="Heading2"/>
        <w:spacing w:after="120" w:before="260"/>
      </w:pPr>
      <w:r>
        <w:rPr>
          <w:rFonts w:ascii="Calibri" w:cs="Calibri" w:eastAsia="Calibri" w:hAnsi="Calibri"/>
          <w:b/>
          <w:bCs/>
        </w:rPr>
        <w:t xml:space="preserve">Why This Dataset Suits a Data Warehouse and BI Solution</w:t>
      </w:r>
    </w:p>
    <w:p>
      <w:pPr>
        <w:spacing w:after="160"/>
      </w:pPr>
      <w:r>
        <w:rPr>
          <w:rFonts w:ascii="Calibri" w:cs="Calibri" w:eastAsia="Calibri" w:hAnsi="Calibri"/>
        </w:rPr>
        <w:t xml:space="preserve">The dataset represents a genuine OLTP system rather than a pre aggregated or synthetic one, since it captures individual banking transactions as they occurred. It has sufficient volume for meaningful analysis, with over a million transaction records against a few thousand accounts and clients. It also offers a wide range of attributes across several natural dimensions: time (transaction and loan dates), geography (district), customer demographics (client age and gender), and product type (card type, loan status), which map cleanly onto Date, Location, Customer and Product style dimension tables. The trans table is a natural candidate for the central fact table, with loan as a possible second fact table for a loan performance data mart. Finally, the business questions this data can answer, such as regional deposit patterns, account activity trends and loan risk by segment, are realistic banking analytics concerns, which supports a credible business scenario for the rest of the assignment.</w:t>
      </w:r>
    </w:p>
    <w:p>
      <w:r>
        <w:br w:type="page"/>
      </w:r>
    </w:p>
    <w:p>
      <w:pPr>
        <w:pStyle w:val="Heading1"/>
        <w:spacing w:after="160" w:before="320"/>
      </w:pPr>
      <w:r>
        <w:rPr>
          <w:rFonts w:ascii="Calibri" w:cs="Calibri" w:eastAsia="Calibri" w:hAnsi="Calibri"/>
          <w:b/>
          <w:bCs/>
        </w:rPr>
        <w:t xml:space="preserve">Task 2: Data Source Identification and Preparation</w:t>
      </w:r>
    </w:p>
    <w:p>
      <w:pPr>
        <w:spacing w:after="160"/>
      </w:pPr>
      <w:r>
        <w:rPr>
          <w:rFonts w:ascii="Calibri" w:cs="Calibri" w:eastAsia="Calibri" w:hAnsi="Calibri"/>
        </w:rPr>
        <w:t xml:space="preserve">The team is using five sources feeding into the same warehouse, spanning four file formats. Sources 1 to 4 all originate from the same single Kaggle download of the Berka dataset, restructured by the team into different formats and treated as separate sources. Source 5 is a wholly separate, genuinely external API. This combination satisfies the assignment's multiple source type requirement while keeping the data's real origin transparent, as set out below.</w:t>
      </w:r>
    </w:p>
    <w:p>
      <w:pPr>
        <w:pStyle w:val="Heading3"/>
        <w:spacing w:after="100" w:before="200"/>
      </w:pPr>
      <w:r>
        <w:rPr>
          <w:rFonts w:ascii="Calibri" w:cs="Calibri" w:eastAsia="Calibri" w:hAnsi="Calibri"/>
          <w:b/>
          <w:bCs/>
          <w:i/>
          <w:iCs/>
        </w:rPr>
        <w:t xml:space="preserve">Note on Data Origin</w:t>
      </w:r>
    </w:p>
    <w:p>
      <w:pPr>
        <w:spacing w:after="160"/>
      </w:pPr>
      <w:r>
        <w:rPr>
          <w:rFonts w:ascii="Calibri" w:cs="Calibri" w:eastAsia="Calibri" w:hAnsi="Calibri"/>
          <w:i/>
          <w:iCs/>
          <w:color w:val="1F3864"/>
          <w:sz w:val="20"/>
          <w:szCs w:val="20"/>
        </w:rPr>
        <w:t xml:space="preserve">Important: Sources 1 to 4 all trace back to the same Kaggle download. The team restructured the card and loan tables into JSON and Excel, and split district out as its own source, purely to create genuine source diversity for this task; the underlying values are identical to the original CSV export throughout. Source 5 is the only source that is genuinely independent of Kaggle.</w:t>
      </w:r>
    </w:p>
    <w:p>
      <w:pPr>
        <w:pStyle w:val="Heading2"/>
        <w:spacing w:after="120" w:before="260"/>
      </w:pPr>
      <w:r>
        <w:rPr>
          <w:rFonts w:ascii="Calibri" w:cs="Calibri" w:eastAsia="Calibri" w:hAnsi="Calibri"/>
          <w:b/>
          <w:bCs/>
        </w:rPr>
        <w:t xml:space="preserve">Source 1: CSV Files</w:t>
      </w:r>
    </w:p>
    <w:p>
      <w:pPr>
        <w:spacing w:after="120"/>
      </w:pPr>
      <w:r>
        <w:rPr>
          <w:rFonts w:ascii="Calibri" w:cs="Calibri" w:eastAsia="Calibri" w:hAnsi="Calibri"/>
          <w:b/>
          <w:bCs/>
        </w:rPr>
        <w:t xml:space="preserve">Description: </w:t>
      </w:r>
      <w:r>
        <w:rPr>
          <w:rFonts w:ascii="Calibri" w:cs="Calibri" w:eastAsia="Calibri" w:hAnsi="Calibri"/>
        </w:rPr>
        <w:t xml:space="preserve">The core set of operational tables, downloaded from the Kaggle mirror of the Berka dataset and kept in their original CSV format: account, client, disp, order and trans. This is the largest source by both table count and row count, and represents the bulk of the bank's day to day operational data.</w:t>
      </w:r>
    </w:p>
    <w:p>
      <w:pPr>
        <w:spacing w:after="120"/>
      </w:pPr>
      <w:r>
        <w:rPr>
          <w:rFonts w:ascii="Calibri" w:cs="Calibri" w:eastAsia="Calibri" w:hAnsi="Calibri"/>
          <w:b/>
          <w:bCs/>
        </w:rPr>
        <w:t xml:space="preserve">Source format: </w:t>
      </w:r>
      <w:r>
        <w:rPr>
          <w:rFonts w:ascii="Calibri" w:cs="Calibri" w:eastAsia="Calibri" w:hAnsi="Calibri"/>
        </w:rPr>
        <w:t xml:space="preserve">Flat CSV files, comma delimited, one file per table.</w:t>
      </w:r>
    </w:p>
    <w:p>
      <w:pPr>
        <w:pStyle w:val="Heading3"/>
        <w:spacing w:after="100" w:before="200"/>
      </w:pPr>
      <w:r>
        <w:rPr>
          <w:rFonts w:ascii="Calibri" w:cs="Calibri" w:eastAsia="Calibri" w:hAnsi="Calibri"/>
          <w:b/>
          <w:bCs/>
          <w:i/>
          <w:iCs/>
        </w:rPr>
        <w:t xml:space="preserve">Available attributes</w:t>
      </w:r>
    </w:p>
    <w:p>
      <w:pPr>
        <w:spacing w:after="160"/>
      </w:pPr>
      <w:r>
        <w:rPr>
          <w:rFonts w:ascii="Calibri" w:cs="Calibri" w:eastAsia="Calibri" w:hAnsi="Calibri"/>
          <w:i/>
          <w:iCs/>
          <w:color w:val="B00000"/>
          <w:sz w:val="20"/>
          <w:szCs w:val="20"/>
        </w:rPr>
        <w:t xml:space="preserve">[Verify before final submission: list the exact columns from your own download, since names can differ slightly between dataset versions]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6500"/>
      </w:tblGrid>
      <w:tr>
        <w:tc>
          <w:tcPr>
            <w:tcW w:type="dxa" w:w="28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Table</w:t>
            </w:r>
          </w:p>
        </w:tc>
        <w:tc>
          <w:tcPr>
            <w:tcW w:type="dxa" w:w="65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Available attributes</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account</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account_id, district_id, statement frequency, account creation date</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client</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client_id, birth date, gender, district_id</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disp</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disp_id, client_id, account_id, disposition type (owner or disponent)</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order</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order_id, account_id, recipient bank code, recipient account, amount, payment purpose</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trans</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trans_id, account_id, date, transaction type, operation, amount, balance after transaction, characterisation, bank and account of the transaction partner</w:t>
            </w:r>
          </w:p>
        </w:tc>
      </w:tr>
    </w:tbl>
    <w:p>
      <w:pPr>
        <w:pStyle w:val="Heading2"/>
        <w:spacing w:after="120" w:before="260"/>
      </w:pPr>
      <w:r>
        <w:rPr>
          <w:rFonts w:ascii="Calibri" w:cs="Calibri" w:eastAsia="Calibri" w:hAnsi="Calibri"/>
          <w:b/>
          <w:bCs/>
        </w:rPr>
        <w:t xml:space="preserve">Source 2: Excel File (loan.xlsx)</w:t>
      </w:r>
    </w:p>
    <w:p>
      <w:pPr>
        <w:spacing w:after="120"/>
      </w:pPr>
      <w:r>
        <w:rPr>
          <w:rFonts w:ascii="Calibri" w:cs="Calibri" w:eastAsia="Calibri" w:hAnsi="Calibri"/>
          <w:b/>
          <w:bCs/>
        </w:rPr>
        <w:t xml:space="preserve">Description: </w:t>
      </w:r>
      <w:r>
        <w:rPr>
          <w:rFonts w:ascii="Calibri" w:cs="Calibri" w:eastAsia="Calibri" w:hAnsi="Calibri"/>
        </w:rPr>
        <w:t xml:space="preserve">The loan table, restructured by the team from the original Kaggle CSV export into a Microsoft Excel workbook. This represents a plausible real world scenario in which a credit or loans department maintains its own approval and status records in a spreadsheet rather than directly in the core banking database.</w:t>
      </w:r>
    </w:p>
    <w:p>
      <w:pPr>
        <w:spacing w:after="120"/>
      </w:pPr>
      <w:r>
        <w:rPr>
          <w:rFonts w:ascii="Calibri" w:cs="Calibri" w:eastAsia="Calibri" w:hAnsi="Calibri"/>
          <w:b/>
          <w:bCs/>
        </w:rPr>
        <w:t xml:space="preserve">Source format: </w:t>
      </w:r>
      <w:r>
        <w:rPr>
          <w:rFonts w:ascii="Calibri" w:cs="Calibri" w:eastAsia="Calibri" w:hAnsi="Calibri"/>
        </w:rPr>
        <w:t xml:space="preserve">Microsoft Excel workbook (.xlsx), a single sheet with one row per loan.</w:t>
      </w:r>
    </w:p>
    <w:p>
      <w:pPr>
        <w:pStyle w:val="Heading3"/>
        <w:spacing w:after="100" w:before="200"/>
      </w:pPr>
      <w:r>
        <w:rPr>
          <w:rFonts w:ascii="Calibri" w:cs="Calibri" w:eastAsia="Calibri" w:hAnsi="Calibri"/>
          <w:b/>
          <w:bCs/>
          <w:i/>
          <w:iCs/>
        </w:rPr>
        <w:t xml:space="preserve">Available attributes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6500"/>
      </w:tblGrid>
      <w:tr>
        <w:tc>
          <w:tcPr>
            <w:tcW w:type="dxa" w:w="28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Table</w:t>
            </w:r>
          </w:p>
        </w:tc>
        <w:tc>
          <w:tcPr>
            <w:tcW w:type="dxa" w:w="65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Available attributes</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loan</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loan_id, account_id, loan grant date, amount, duration, monthly payment, status</w:t>
            </w:r>
          </w:p>
        </w:tc>
      </w:tr>
    </w:tbl>
    <w:p>
      <w:pPr>
        <w:pStyle w:val="Heading2"/>
        <w:spacing w:after="120" w:before="260"/>
      </w:pPr>
      <w:r>
        <w:rPr>
          <w:rFonts w:ascii="Calibri" w:cs="Calibri" w:eastAsia="Calibri" w:hAnsi="Calibri"/>
          <w:b/>
          <w:bCs/>
        </w:rPr>
        <w:t xml:space="preserve">Source 3: JSON File (card.json)</w:t>
      </w:r>
    </w:p>
    <w:p>
      <w:pPr>
        <w:spacing w:after="120"/>
      </w:pPr>
      <w:r>
        <w:rPr>
          <w:rFonts w:ascii="Calibri" w:cs="Calibri" w:eastAsia="Calibri" w:hAnsi="Calibri"/>
          <w:b/>
          <w:bCs/>
        </w:rPr>
        <w:t xml:space="preserve">Description: </w:t>
      </w:r>
      <w:r>
        <w:rPr>
          <w:rFonts w:ascii="Calibri" w:cs="Calibri" w:eastAsia="Calibri" w:hAnsi="Calibri"/>
        </w:rPr>
        <w:t xml:space="preserve">The card table, restructured by the team from the original Kaggle CSV export into a JSON file. This represents a plausible real world scenario in which card issuance is handled by a separate card processing vendor that supplies data as a JSON feed rather than granting direct access to the core banking database.</w:t>
      </w:r>
    </w:p>
    <w:p>
      <w:pPr>
        <w:spacing w:after="120"/>
      </w:pPr>
      <w:r>
        <w:rPr>
          <w:rFonts w:ascii="Calibri" w:cs="Calibri" w:eastAsia="Calibri" w:hAnsi="Calibri"/>
          <w:b/>
          <w:bCs/>
        </w:rPr>
        <w:t xml:space="preserve">Source format: </w:t>
      </w:r>
      <w:r>
        <w:rPr>
          <w:rFonts w:ascii="Calibri" w:cs="Calibri" w:eastAsia="Calibri" w:hAnsi="Calibri"/>
        </w:rPr>
        <w:t xml:space="preserve">JSON file, an array of card objects, one object per card.</w:t>
      </w:r>
    </w:p>
    <w:p>
      <w:pPr>
        <w:pStyle w:val="Heading3"/>
        <w:spacing w:after="100" w:before="200"/>
      </w:pPr>
      <w:r>
        <w:rPr>
          <w:rFonts w:ascii="Calibri" w:cs="Calibri" w:eastAsia="Calibri" w:hAnsi="Calibri"/>
          <w:b/>
          <w:bCs/>
          <w:i/>
          <w:iCs/>
        </w:rPr>
        <w:t xml:space="preserve">Available attributes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6500"/>
      </w:tblGrid>
      <w:tr>
        <w:tc>
          <w:tcPr>
            <w:tcW w:type="dxa" w:w="28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Table</w:t>
            </w:r>
          </w:p>
        </w:tc>
        <w:tc>
          <w:tcPr>
            <w:tcW w:type="dxa" w:w="65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Available attributes</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card</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card_id, disp_id, card type (classic, junior, gold), issue date</w:t>
            </w:r>
          </w:p>
        </w:tc>
      </w:tr>
    </w:tbl>
    <w:p>
      <w:pPr>
        <w:pStyle w:val="Heading2"/>
        <w:spacing w:after="120" w:before="260"/>
      </w:pPr>
      <w:r>
        <w:rPr>
          <w:rFonts w:ascii="Calibri" w:cs="Calibri" w:eastAsia="Calibri" w:hAnsi="Calibri"/>
          <w:b/>
          <w:bCs/>
        </w:rPr>
        <w:t xml:space="preserve">Source 4: District Reference File (district.csv)</w:t>
      </w:r>
    </w:p>
    <w:p>
      <w:pPr>
        <w:spacing w:after="120"/>
      </w:pPr>
      <w:r>
        <w:rPr>
          <w:rFonts w:ascii="Calibri" w:cs="Calibri" w:eastAsia="Calibri" w:hAnsi="Calibri"/>
          <w:b/>
          <w:bCs/>
        </w:rPr>
        <w:t xml:space="preserve">Description: </w:t>
      </w:r>
      <w:r>
        <w:rPr>
          <w:rFonts w:ascii="Calibri" w:cs="Calibri" w:eastAsia="Calibri" w:hAnsi="Calibri"/>
        </w:rPr>
        <w:t xml:space="preserve">Demographic and regional data for each district, kept as its own source even though it is also delivered as CSV. Static reference data of this kind is realistically maintained by a national statistics office or a bank's demographics team, separately from the account, client and transaction records in Source 1, which is why the team treats it as a distinct source rather than folding it into Source 1.</w:t>
      </w:r>
    </w:p>
    <w:p>
      <w:pPr>
        <w:spacing w:after="120"/>
      </w:pPr>
      <w:r>
        <w:rPr>
          <w:rFonts w:ascii="Calibri" w:cs="Calibri" w:eastAsia="Calibri" w:hAnsi="Calibri"/>
          <w:b/>
          <w:bCs/>
        </w:rPr>
        <w:t xml:space="preserve">Source format: </w:t>
      </w:r>
      <w:r>
        <w:rPr>
          <w:rFonts w:ascii="Calibri" w:cs="Calibri" w:eastAsia="Calibri" w:hAnsi="Calibri"/>
        </w:rPr>
        <w:t xml:space="preserve">Flat CSV file, comma delimited. Confirm the character encoding on your actual download, since the Czech district names use diacritics that some tools misread.</w:t>
      </w:r>
    </w:p>
    <w:p>
      <w:pPr>
        <w:pStyle w:val="Heading3"/>
        <w:spacing w:after="100" w:before="200"/>
      </w:pPr>
      <w:r>
        <w:rPr>
          <w:rFonts w:ascii="Calibri" w:cs="Calibri" w:eastAsia="Calibri" w:hAnsi="Calibri"/>
          <w:b/>
          <w:bCs/>
          <w:i/>
          <w:iCs/>
        </w:rPr>
        <w:t xml:space="preserve">Available attributes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6500"/>
      </w:tblGrid>
      <w:tr>
        <w:tc>
          <w:tcPr>
            <w:tcW w:type="dxa" w:w="28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Table</w:t>
            </w:r>
          </w:p>
        </w:tc>
        <w:tc>
          <w:tcPr>
            <w:tcW w:type="dxa" w:w="65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Available attributes</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district</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district_id, district name, region, number of inhabitants, number of municipalities by size band, number of cities, ratio of urban inhabitants, average salary, unemployment rate (1995 and 1996), number of entrepreneurs per 1,000 inhabitants, number of crimes committed (1995 and 1996)</w:t>
            </w:r>
          </w:p>
        </w:tc>
      </w:tr>
    </w:tbl>
    <w:p>
      <w:pPr>
        <w:pStyle w:val="Heading2"/>
        <w:spacing w:after="120" w:before="260"/>
      </w:pPr>
      <w:r>
        <w:rPr>
          <w:rFonts w:ascii="Calibri" w:cs="Calibri" w:eastAsia="Calibri" w:hAnsi="Calibri"/>
          <w:b/>
          <w:bCs/>
        </w:rPr>
        <w:t xml:space="preserve">Source 5: External API (Nager.Date Public Holidays)</w:t>
      </w:r>
    </w:p>
    <w:p>
      <w:pPr>
        <w:spacing w:after="120"/>
      </w:pPr>
      <w:r>
        <w:rPr>
          <w:rFonts w:ascii="Calibri" w:cs="Calibri" w:eastAsia="Calibri" w:hAnsi="Calibri"/>
          <w:b/>
          <w:bCs/>
        </w:rPr>
        <w:t xml:space="preserve">Description: </w:t>
      </w:r>
      <w:r>
        <w:rPr>
          <w:rFonts w:ascii="Calibri" w:cs="Calibri" w:eastAsia="Calibri" w:hAnsi="Calibri"/>
        </w:rPr>
        <w:t xml:space="preserve">Czech public holiday dates for the years covered by the transaction data, retrieved from the Nager.Date public holidays API (date.nager.at), a free, unauthenticated public API. Unlike Sources 1 to 4, this data does not originate from Kaggle or from the bank at all. It represents a genuinely external system being pulled in to enrich the warehouse, which is what the assignment's API example source type is intended to demonstrate.</w:t>
      </w:r>
    </w:p>
    <w:p>
      <w:pPr>
        <w:spacing w:after="120"/>
      </w:pPr>
      <w:r>
        <w:rPr>
          <w:rFonts w:ascii="Calibri" w:cs="Calibri" w:eastAsia="Calibri" w:hAnsi="Calibri"/>
          <w:b/>
          <w:bCs/>
        </w:rPr>
        <w:t xml:space="preserve">Source format: </w:t>
      </w:r>
      <w:r>
        <w:rPr>
          <w:rFonts w:ascii="Calibri" w:cs="Calibri" w:eastAsia="Calibri" w:hAnsi="Calibri"/>
        </w:rPr>
        <w:t xml:space="preserve">REST API returning JSON. One call per year is made to https://date.nager.at/api/v3/PublicHolidays/{year}/CZ, and the results across all covered years are combined into a single JSON file for use in the ETL pipeline.</w:t>
      </w:r>
    </w:p>
    <w:p>
      <w:pPr>
        <w:pStyle w:val="Heading3"/>
        <w:spacing w:after="100" w:before="200"/>
      </w:pPr>
      <w:r>
        <w:rPr>
          <w:rFonts w:ascii="Calibri" w:cs="Calibri" w:eastAsia="Calibri" w:hAnsi="Calibri"/>
          <w:b/>
          <w:bCs/>
          <w:i/>
          <w:iCs/>
        </w:rPr>
        <w:t xml:space="preserve">Available attributes</w:t>
      </w:r>
    </w:p>
    <w:p>
      <w:pPr>
        <w:spacing w:after="160"/>
      </w:pPr>
      <w:r>
        <w:rPr>
          <w:rFonts w:ascii="Calibri" w:cs="Calibri" w:eastAsia="Calibri" w:hAnsi="Calibri"/>
          <w:i/>
          <w:iCs/>
          <w:color w:val="B00000"/>
          <w:sz w:val="20"/>
          <w:szCs w:val="20"/>
        </w:rPr>
        <w:t xml:space="preserve">[Verify before final submission: confirm the exact year range against the minimum and maximum dates actually present in the trans, order and loan tables before fetching]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6500"/>
      </w:tblGrid>
      <w:tr>
        <w:tc>
          <w:tcPr>
            <w:tcW w:type="dxa" w:w="28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Table</w:t>
            </w:r>
          </w:p>
        </w:tc>
        <w:tc>
          <w:tcPr>
            <w:tcW w:type="dxa" w:w="65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Available attributes</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holidays</w:t>
            </w:r>
          </w:p>
        </w:tc>
        <w:tc>
          <w:tcPr>
            <w:tcW w:type="dxa" w:w="6500"/>
            <w:tcMar>
              <w:top w:type="dxa" w:w="80"/>
              <w:left w:type="dxa" w:w="100"/>
              <w:bottom w:type="dxa" w:w="80"/>
              <w:right w:type="dxa" w:w="100"/>
            </w:tcMar>
          </w:tcPr>
          <w:p>
            <w:r>
              <w:rPr>
                <w:rFonts w:ascii="Calibri" w:cs="Calibri" w:eastAsia="Calibri" w:hAnsi="Calibri"/>
                <w:b w:val="false"/>
                <w:bCs w:val="false"/>
                <w:color w:val="000000"/>
                <w:sz w:val="20"/>
                <w:szCs w:val="20"/>
              </w:rPr>
              <w:t xml:space="preserve">date, local name (Czech), English name, country code, fixed (whether the date is the same every year), global (whether it applies nationwide), holiday type</w:t>
            </w:r>
          </w:p>
        </w:tc>
      </w:tr>
    </w:tbl>
    <w:p>
      <w:pPr>
        <w:pStyle w:val="Heading2"/>
        <w:spacing w:after="120" w:before="260"/>
      </w:pPr>
      <w:r>
        <w:rPr>
          <w:rFonts w:ascii="Calibri" w:cs="Calibri" w:eastAsia="Calibri" w:hAnsi="Calibri"/>
          <w:b/>
          <w:bCs/>
        </w:rPr>
        <w:t xml:space="preserve">Relationship Between Sources</w:t>
      </w:r>
    </w:p>
    <w:p>
      <w:pPr>
        <w:spacing w:after="160"/>
      </w:pPr>
      <w:r>
        <w:rPr>
          <w:rFonts w:ascii="Calibri" w:cs="Calibri" w:eastAsia="Calibri" w:hAnsi="Calibri"/>
        </w:rPr>
        <w:t xml:space="preserve">Even though Sources 1 to 4 differ in format or in how the team has chosen to treat them, they share the exact same relational structure as the original Kaggle export, since restructuring only changed the container, not the values or the keys inside it. Within that shared structure, the tables connect as follows:</w:t>
      </w:r>
    </w:p>
    <w:p>
      <w:pPr>
        <w:pStyle w:val="ListParagraph"/>
        <w:numPr>
          <w:ilvl w:val="0"/>
          <w:numId w:val="2"/>
        </w:numPr>
        <w:spacing w:after="80"/>
      </w:pPr>
      <w:r>
        <w:rPr>
          <w:rFonts w:ascii="Calibri" w:cs="Calibri" w:eastAsia="Calibri" w:hAnsi="Calibri"/>
        </w:rPr>
        <w:t xml:space="preserve">client to disp to account: a many to many relationship, since an account can have multiple disponents and a client could in principle be linked to more than one account. All three tables are in Source 1 (CSV).</w:t>
      </w:r>
    </w:p>
    <w:p>
      <w:pPr>
        <w:pStyle w:val="ListParagraph"/>
        <w:numPr>
          <w:ilvl w:val="0"/>
          <w:numId w:val="2"/>
        </w:numPr>
        <w:spacing w:after="80"/>
      </w:pPr>
      <w:r>
        <w:rPr>
          <w:rFonts w:ascii="Calibri" w:cs="Calibri" w:eastAsia="Calibri" w:hAnsi="Calibri"/>
        </w:rPr>
        <w:t xml:space="preserve">account to order and trans: one to many, since one account has many orders and transactions. Both are in Source 1 (CSV).</w:t>
      </w:r>
    </w:p>
    <w:p>
      <w:pPr>
        <w:pStyle w:val="ListParagraph"/>
        <w:numPr>
          <w:ilvl w:val="0"/>
          <w:numId w:val="2"/>
        </w:numPr>
        <w:spacing w:after="80"/>
      </w:pPr>
      <w:r>
        <w:rPr>
          <w:rFonts w:ascii="Calibri" w:cs="Calibri" w:eastAsia="Calibri" w:hAnsi="Calibri"/>
        </w:rPr>
        <w:t xml:space="preserve">account to loan: one to many, at most one active loan per account. loan is sourced from Source 2 (Excel) but still joins to account via account_id exactly as it would if it were still a CSV file.</w:t>
      </w:r>
    </w:p>
    <w:p>
      <w:pPr>
        <w:pStyle w:val="ListParagraph"/>
        <w:numPr>
          <w:ilvl w:val="0"/>
          <w:numId w:val="2"/>
        </w:numPr>
        <w:spacing w:after="80"/>
      </w:pPr>
      <w:r>
        <w:rPr>
          <w:rFonts w:ascii="Calibri" w:cs="Calibri" w:eastAsia="Calibri" w:hAnsi="Calibri"/>
        </w:rPr>
        <w:t xml:space="preserve">disp to card: one to one for accounts that have issued a card. card is sourced from Source 3 (JSON) but still joins to disp via disp_id exactly as it would if it were still a CSV file.</w:t>
      </w:r>
    </w:p>
    <w:p>
      <w:pPr>
        <w:pStyle w:val="ListParagraph"/>
        <w:numPr>
          <w:ilvl w:val="0"/>
          <w:numId w:val="2"/>
        </w:numPr>
        <w:spacing w:after="80"/>
      </w:pPr>
      <w:r>
        <w:rPr>
          <w:rFonts w:ascii="Calibri" w:cs="Calibri" w:eastAsia="Calibri" w:hAnsi="Calibri"/>
        </w:rPr>
        <w:t xml:space="preserve">account and client to district: both link via district_id. district is sourced from Source 4, a separate CSV source to Source 1, even though both happen to be CSV files, since district represents externally sourced demographic reference data rather than the bank's own operational records. This is the clearest example in the project of two sources sharing a file format while still being genuinely distinct in origin and purpose.</w:t>
      </w:r>
    </w:p>
    <w:p>
      <w:pPr>
        <w:spacing w:after="160"/>
      </w:pPr>
      <w:r>
        <w:rPr>
          <w:rFonts w:ascii="Calibri" w:cs="Calibri" w:eastAsia="Calibri" w:hAnsi="Calibri"/>
        </w:rPr>
        <w:t xml:space="preserve">Source 5 does not share a foreign key with Sources 1 to 4 at all. Instead, it relates by calendar date: each holiday date is matched against the date column already present in the Date dimension built in Task 4, flagging whichever dates in trans, order and loan happen to fall on a public holiday. This is a conceptually different kind of integration to the identifier joins above, matching on a shared attribute value rather than a shared key, and is worth calling out explicitly in the report as a second, distinct integration pattern.</w:t>
      </w:r>
    </w:p>
    <w:p>
      <w:pPr>
        <w:pStyle w:val="Heading2"/>
        <w:spacing w:after="120" w:before="260"/>
      </w:pPr>
      <w:r>
        <w:rPr>
          <w:rFonts w:ascii="Calibri" w:cs="Calibri" w:eastAsia="Calibri" w:hAnsi="Calibri"/>
          <w:b/>
          <w:bCs/>
        </w:rPr>
        <w:t xml:space="preserve">Data Preparation Steps</w:t>
      </w:r>
    </w:p>
    <w:p>
      <w:pPr>
        <w:spacing w:after="160"/>
      </w:pPr>
      <w:r>
        <w:rPr>
          <w:rFonts w:ascii="Calibri" w:cs="Calibri" w:eastAsia="Calibri" w:hAnsi="Calibri"/>
        </w:rPr>
        <w:t xml:space="preserve">The following preparation was carried out on the raw downloads before handing the files to Member 3 for the ETL pipeline.</w:t>
      </w:r>
    </w:p>
    <w:p>
      <w:pPr>
        <w:pStyle w:val="ListParagraph"/>
        <w:numPr>
          <w:ilvl w:val="0"/>
          <w:numId w:val="3"/>
        </w:numPr>
        <w:spacing w:after="80"/>
      </w:pPr>
      <w:r>
        <w:rPr>
          <w:rFonts w:ascii="Calibri" w:cs="Calibri" w:eastAsia="Calibri" w:hAnsi="Calibri"/>
        </w:rPr>
        <w:t xml:space="preserve">Downloaded the Berka dataset from Kaggle as CSV files covering all eight tables.</w:t>
      </w:r>
    </w:p>
    <w:p>
      <w:pPr>
        <w:pStyle w:val="ListParagraph"/>
        <w:numPr>
          <w:ilvl w:val="0"/>
          <w:numId w:val="3"/>
        </w:numPr>
        <w:spacing w:after="80"/>
      </w:pPr>
      <w:r>
        <w:rPr>
          <w:rFonts w:ascii="Calibri" w:cs="Calibri" w:eastAsia="Calibri" w:hAnsi="Calibri"/>
        </w:rPr>
        <w:t xml:space="preserve">Restructured card into a JSON file and loan into an Excel workbook, and separated district out from the rest of the CSV export, to create four genuinely distinct sources for this task, while keeping the underlying values unchanged from the original CSV export throughout.</w:t>
      </w:r>
    </w:p>
    <w:p>
      <w:pPr>
        <w:pStyle w:val="ListParagraph"/>
        <w:numPr>
          <w:ilvl w:val="0"/>
          <w:numId w:val="3"/>
        </w:numPr>
        <w:spacing w:after="80"/>
      </w:pPr>
      <w:r>
        <w:rPr>
          <w:rFonts w:ascii="Calibri" w:cs="Calibri" w:eastAsia="Calibri" w:hAnsi="Calibri"/>
        </w:rPr>
        <w:t xml:space="preserve">Created a dedicated SQL Server database (BerkaSourceDB) and wrote explicit CREATE TABLE scripts for each table using T-SQL data types, based on the data dictionary, rather than relying on an import wizard to infer types.</w:t>
      </w:r>
    </w:p>
    <w:p>
      <w:pPr>
        <w:pStyle w:val="ListParagraph"/>
        <w:numPr>
          <w:ilvl w:val="0"/>
          <w:numId w:val="3"/>
        </w:numPr>
        <w:spacing w:after="80"/>
      </w:pPr>
      <w:r>
        <w:rPr>
          <w:rFonts w:ascii="Calibri" w:cs="Calibri" w:eastAsia="Calibri" w:hAnsi="Calibri"/>
        </w:rPr>
        <w:t xml:space="preserve">Loaded the five Source 1 CSV tables (account, client, disp, order, trans) into SQL Server using BULK INSERT.</w:t>
      </w:r>
    </w:p>
    <w:p>
      <w:pPr>
        <w:pStyle w:val="ListParagraph"/>
        <w:numPr>
          <w:ilvl w:val="0"/>
          <w:numId w:val="3"/>
        </w:numPr>
        <w:spacing w:after="80"/>
      </w:pPr>
      <w:r>
        <w:rPr>
          <w:rFonts w:ascii="Calibri" w:cs="Calibri" w:eastAsia="Calibri" w:hAnsi="Calibri"/>
        </w:rPr>
        <w:t xml:space="preserve">Loaded district from Source 4 using a separate BULK INSERT, keeping it distinct from the Source 1 load.</w:t>
      </w:r>
    </w:p>
    <w:p>
      <w:pPr>
        <w:pStyle w:val="ListParagraph"/>
        <w:numPr>
          <w:ilvl w:val="0"/>
          <w:numId w:val="3"/>
        </w:numPr>
        <w:spacing w:after="80"/>
      </w:pPr>
      <w:r>
        <w:rPr>
          <w:rFonts w:ascii="Calibri" w:cs="Calibri" w:eastAsia="Calibri" w:hAnsi="Calibri"/>
        </w:rPr>
        <w:t xml:space="preserve">Loaded card from card.json using SQL Server's native JSON support (OPENROWSET and OPENJSON), since it is a different extraction method to a plain CSV load.</w:t>
      </w:r>
    </w:p>
    <w:p>
      <w:pPr>
        <w:pStyle w:val="ListParagraph"/>
        <w:numPr>
          <w:ilvl w:val="0"/>
          <w:numId w:val="3"/>
        </w:numPr>
        <w:spacing w:after="80"/>
      </w:pPr>
      <w:r>
        <w:rPr>
          <w:rFonts w:ascii="Calibri" w:cs="Calibri" w:eastAsia="Calibri" w:hAnsi="Calibri"/>
        </w:rPr>
        <w:t xml:space="preserve">Loaded loan from loan.xlsx using Python and pandas, since SQL Server has no native Excel reader.</w:t>
      </w:r>
    </w:p>
    <w:p>
      <w:pPr>
        <w:pStyle w:val="ListParagraph"/>
        <w:numPr>
          <w:ilvl w:val="0"/>
          <w:numId w:val="3"/>
        </w:numPr>
        <w:spacing w:after="80"/>
      </w:pPr>
      <w:r>
        <w:rPr>
          <w:rFonts w:ascii="Calibri" w:cs="Calibri" w:eastAsia="Calibri" w:hAnsi="Calibri"/>
        </w:rPr>
        <w:t xml:space="preserve">Verified table and row counts across all four restructured sources against the expected Berka counts, confirming the values are unchanged regardless of file format or source grouping.</w:t>
      </w:r>
    </w:p>
    <w:p>
      <w:pPr>
        <w:pStyle w:val="ListParagraph"/>
        <w:numPr>
          <w:ilvl w:val="0"/>
          <w:numId w:val="3"/>
        </w:numPr>
        <w:spacing w:after="80"/>
      </w:pPr>
      <w:r>
        <w:rPr>
          <w:rFonts w:ascii="Calibri" w:cs="Calibri" w:eastAsia="Calibri" w:hAnsi="Calibri"/>
        </w:rPr>
        <w:t xml:space="preserve">Set the district name and region columns to NVARCHAR rather than VARCHAR, and confirmed on import that the Czech diacritics in district.csv were preserved correctly.</w:t>
      </w:r>
    </w:p>
    <w:p>
      <w:pPr>
        <w:pStyle w:val="ListParagraph"/>
        <w:numPr>
          <w:ilvl w:val="0"/>
          <w:numId w:val="3"/>
        </w:numPr>
        <w:spacing w:after="80"/>
      </w:pPr>
      <w:r>
        <w:rPr>
          <w:rFonts w:ascii="Calibri" w:cs="Calibri" w:eastAsia="Calibri" w:hAnsi="Calibri"/>
        </w:rPr>
        <w:t xml:space="preserve">Checked the minimum and maximum dates in trans, order and loan in SQL Server to determine the exact year range the holiday data needs to cover.</w:t>
      </w:r>
    </w:p>
    <w:p>
      <w:pPr>
        <w:pStyle w:val="ListParagraph"/>
        <w:numPr>
          <w:ilvl w:val="0"/>
          <w:numId w:val="3"/>
        </w:numPr>
        <w:spacing w:after="80"/>
      </w:pPr>
      <w:r>
        <w:rPr>
          <w:rFonts w:ascii="Calibri" w:cs="Calibri" w:eastAsia="Calibri" w:hAnsi="Calibri"/>
        </w:rPr>
        <w:t xml:space="preserve">Called the Nager.Date API once per year across that range and combined the results into a single JSON file, since a single combined file is simpler to hand off than one file per year.</w:t>
      </w:r>
    </w:p>
    <w:p>
      <w:pPr>
        <w:pStyle w:val="ListParagraph"/>
        <w:numPr>
          <w:ilvl w:val="0"/>
          <w:numId w:val="3"/>
        </w:numPr>
        <w:spacing w:after="80"/>
      </w:pPr>
      <w:r>
        <w:rPr>
          <w:rFonts w:ascii="Calibri" w:cs="Calibri" w:eastAsia="Calibri" w:hAnsi="Calibri"/>
        </w:rPr>
        <w:t xml:space="preserve">Retained all data in its original state otherwise. Cleansing tasks such as missing value handling, deduplication and standardisation are performed downstream in the ETL stage (Task 5) and documented there rather than here.</w:t>
      </w:r>
    </w:p>
    <w:p>
      <w:pPr>
        <w:pStyle w:val="Heading2"/>
        <w:spacing w:after="120" w:before="260"/>
      </w:pPr>
      <w:r>
        <w:rPr>
          <w:rFonts w:ascii="Calibri" w:cs="Calibri" w:eastAsia="Calibri" w:hAnsi="Calibri"/>
          <w:b/>
          <w:bCs/>
        </w:rPr>
        <w:t xml:space="preserve">Integration into a Unified Analytical Environment</w:t>
      </w:r>
    </w:p>
    <w:p>
      <w:pPr>
        <w:spacing w:after="160"/>
      </w:pPr>
      <w:r>
        <w:rPr>
          <w:rFonts w:ascii="Calibri" w:cs="Calibri" w:eastAsia="Calibri" w:hAnsi="Calibri"/>
        </w:rPr>
        <w:t xml:space="preserve">Although the five sources differ in format or grouping, four of them share not only a business domain but the exact same underlying values, since they all originate from the same Kaggle download restructured or regrouped by the team. Integration is therefore straightforward for Sources 1 to 4: each is extracted in its own way, a CSV read for Sources 1 and 4, a JSON parse for Source 3, and an Excel read for Source 2, then loaded into the same SQL Server staging database, where the original account_id, disp_id and district_id keys reconnect them exactly as they would if all four were still one CSV export. Source 5 integrates differently: it is extracted through a REST API call and joined not by an identifier key but by calendar date, enriching the Date dimension built in Task 4. Together this demonstrates two distinct integration patterns: reconciling data that shares a common key despite arriving through different sources, and enriching a dimension with a wholly external feed that shares no key at all.</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2026-09-29T11:52:15.907Z</dcterms:created>
  <dcterms:modified xsi:type="dcterms:W3CDTF">2026-09-29T11:52:15.915Z</dcterms:modified>
</cp:coreProperties>
</file>

<file path=docProps/custom.xml><?xml version="1.0" encoding="utf-8"?>
<Properties xmlns="http://schemas.openxmlformats.org/officeDocument/2006/custom-properties" xmlns:vt="http://schemas.openxmlformats.org/officeDocument/2006/docPropsVTypes"/>
</file>