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start"/>
        <w:rPr/>
      </w:pPr>
      <w:r>
        <w:rPr>
          <w:b/>
          <w:bCs/>
          <w:color w:val="1C2B46"/>
          <w:sz w:val="56"/>
          <w:szCs w:val="56"/>
        </w:rPr>
        <w:t>Unit Testing the Message Routing Practical</w:t>
      </w:r>
    </w:p>
    <w:p>
      <w:pPr>
        <w:pStyle w:val="Normal"/>
        <w:spacing w:before="0" w:after="300"/>
        <w:rPr/>
      </w:pPr>
      <w:r>
        <w:rPr>
          <w:i/>
          <w:iCs/>
          <w:color w:val="555555"/>
          <w:sz w:val="24"/>
          <w:szCs w:val="24"/>
        </w:rPr>
        <w:t>Creating a Test Suite for ContentBasedRouteTutorial — WSO2 Integrator: MI 4.6.0</w:t>
      </w:r>
    </w:p>
    <w:p>
      <w:pPr>
        <w:pStyle w:val="Normal"/>
        <w:pBdr>
          <w:bottom w:val="single" w:sz="6" w:space="1" w:color="1C2B46"/>
        </w:pBdr>
        <w:spacing w:before="0" w:after="240"/>
        <w:rPr/>
      </w:pPr>
      <w:r>
        <w:rPr/>
      </w:r>
    </w:p>
    <w:p>
      <w:pPr>
        <w:pStyle w:val="Normal"/>
        <w:spacing w:before="0" w:after="160"/>
        <w:rPr/>
      </w:pPr>
      <w:r>
        <w:rPr>
          <w:color w:val="222222"/>
          <w:sz w:val="22"/>
          <w:szCs w:val="22"/>
        </w:rPr>
        <w:t xml:space="preserve">A practical for building a </w:t>
      </w:r>
      <w:r>
        <w:rPr>
          <w:b/>
          <w:bCs/>
          <w:color w:val="222222"/>
          <w:sz w:val="22"/>
          <w:szCs w:val="22"/>
        </w:rPr>
        <w:t>unit test suite</w:t>
      </w:r>
      <w:r>
        <w:rPr>
          <w:color w:val="222222"/>
          <w:sz w:val="22"/>
          <w:szCs w:val="22"/>
        </w:rPr>
        <w:t xml:space="preserve"> around the </w:t>
      </w:r>
      <w:r>
        <w:rPr>
          <w:b/>
          <w:bCs/>
          <w:color w:val="222222"/>
          <w:sz w:val="22"/>
          <w:szCs w:val="22"/>
        </w:rPr>
        <w:t>Message Routing</w:t>
      </w:r>
      <w:r>
        <w:rPr>
          <w:color w:val="222222"/>
          <w:sz w:val="22"/>
          <w:szCs w:val="22"/>
        </w:rPr>
        <w:t xml:space="preserve"> tutorial’s </w:t>
      </w:r>
      <w:r>
        <w:rPr>
          <w:rFonts w:eastAsia="Courier New" w:cs="Courier New" w:ascii="Courier New" w:hAnsi="Courier New"/>
          <w:color w:val="222222"/>
          <w:sz w:val="20"/>
          <w:szCs w:val="20"/>
        </w:rPr>
        <w:t>HealthcareAPI</w:t>
      </w:r>
      <w:r>
        <w:rPr>
          <w:color w:val="222222"/>
          <w:sz w:val="22"/>
          <w:szCs w:val="22"/>
        </w:rPr>
        <w:t xml:space="preserve">: a client payload is routed to one of three hospital connections based on its </w:t>
      </w:r>
      <w:r>
        <w:rPr>
          <w:rFonts w:eastAsia="Courier New" w:cs="Courier New" w:ascii="Courier New" w:hAnsi="Courier New"/>
          <w:color w:val="222222"/>
          <w:sz w:val="20"/>
          <w:szCs w:val="20"/>
        </w:rPr>
        <w:t>hospital</w:t>
      </w:r>
      <w:r>
        <w:rPr>
          <w:color w:val="222222"/>
          <w:sz w:val="22"/>
          <w:szCs w:val="22"/>
        </w:rPr>
        <w:t xml:space="preserve"> field, each forwarded to the real backend via the HTTP Connector.</w:t>
      </w:r>
    </w:p>
    <w:p>
      <w:pPr>
        <w:pStyle w:val="Heading1"/>
        <w:spacing w:before="360" w:after="160"/>
        <w:rPr/>
      </w:pPr>
      <w:r>
        <w:rPr>
          <w:b/>
          <w:bCs/>
          <w:color w:val="1C2B46"/>
          <w:sz w:val="32"/>
          <w:szCs w:val="32"/>
        </w:rPr>
        <w:t>A Known Limitation to Plan Around</w:t>
      </w:r>
    </w:p>
    <w:p>
      <w:pPr>
        <w:pStyle w:val="Normal"/>
        <w:spacing w:before="0" w:after="200"/>
        <w:rPr/>
      </w:pPr>
      <w:r>
        <w:rPr>
          <w:color w:val="222222"/>
          <w:sz w:val="22"/>
          <w:szCs w:val="22"/>
        </w:rPr>
        <w:t xml:space="preserve">The MI for VS Code extension’s </w:t>
      </w:r>
      <w:r>
        <w:rPr>
          <w:b/>
          <w:bCs/>
          <w:color w:val="222222"/>
          <w:sz w:val="22"/>
          <w:szCs w:val="22"/>
        </w:rPr>
        <w:t>mock service</w:t>
      </w:r>
      <w:r>
        <w:rPr>
          <w:color w:val="222222"/>
          <w:sz w:val="22"/>
          <w:szCs w:val="22"/>
        </w:rPr>
        <w:t xml:space="preserve"> feature can only intercept calls made through a classic </w:t>
      </w:r>
      <w:r>
        <w:rPr>
          <w:rFonts w:eastAsia="Courier New" w:cs="Courier New" w:ascii="Courier New" w:hAnsi="Courier New"/>
          <w:color w:val="222222"/>
          <w:sz w:val="20"/>
          <w:szCs w:val="20"/>
        </w:rPr>
        <w:t>&lt;endpoint&gt;</w:t>
      </w:r>
      <w:r>
        <w:rPr>
          <w:color w:val="222222"/>
          <w:sz w:val="22"/>
          <w:szCs w:val="22"/>
        </w:rPr>
        <w:t xml:space="preserve"> artifact. It </w:t>
      </w:r>
      <w:r>
        <w:rPr>
          <w:b/>
          <w:bCs/>
          <w:color w:val="222222"/>
          <w:sz w:val="22"/>
          <w:szCs w:val="22"/>
        </w:rPr>
        <w:t>cannot</w:t>
      </w:r>
      <w:r>
        <w:rPr>
          <w:color w:val="222222"/>
          <w:sz w:val="22"/>
          <w:szCs w:val="22"/>
        </w:rPr>
        <w:t xml:space="preserve"> intercept a call made through the </w:t>
      </w:r>
      <w:r>
        <w:rPr>
          <w:b/>
          <w:bCs/>
          <w:color w:val="222222"/>
          <w:sz w:val="22"/>
          <w:szCs w:val="22"/>
        </w:rPr>
        <w:t>HTTP Connector</w:t>
      </w:r>
      <w:r>
        <w:rPr>
          <w:color w:val="222222"/>
          <w:sz w:val="22"/>
          <w:szCs w:val="22"/>
        </w:rPr>
        <w:t xml:space="preserve"> (</w:t>
      </w:r>
      <w:r>
        <w:rPr>
          <w:rFonts w:eastAsia="Courier New" w:cs="Courier New" w:ascii="Courier New" w:hAnsi="Courier New"/>
          <w:color w:val="222222"/>
          <w:sz w:val="20"/>
          <w:szCs w:val="20"/>
        </w:rPr>
        <w:t>http.post</w:t>
      </w:r>
      <w:r>
        <w:rPr>
          <w:color w:val="222222"/>
          <w:sz w:val="22"/>
          <w:szCs w:val="22"/>
        </w:rPr>
        <w:t xml:space="preserve">). Each branch of the switch calls its hospital via </w:t>
      </w:r>
      <w:r>
        <w:rPr>
          <w:rFonts w:eastAsia="Courier New" w:cs="Courier New" w:ascii="Courier New" w:hAnsi="Courier New"/>
          <w:color w:val="222222"/>
          <w:sz w:val="20"/>
          <w:szCs w:val="20"/>
        </w:rPr>
        <w:t>http.post configKey="...Conn"</w:t>
      </w:r>
      <w:r>
        <w:rPr>
          <w:color w:val="222222"/>
          <w:sz w:val="22"/>
          <w:szCs w:val="22"/>
        </w:rPr>
        <w:t xml:space="preserve"> — the HTTP Connector — so </w:t>
      </w:r>
      <w:r>
        <w:rPr>
          <w:b/>
          <w:bCs/>
          <w:color w:val="222222"/>
          <w:sz w:val="22"/>
          <w:szCs w:val="22"/>
        </w:rPr>
        <w:t>no mock service can be attached to any of these test cases</w:t>
      </w:r>
      <w:r>
        <w:rPr>
          <w:color w:val="222222"/>
          <w:sz w:val="22"/>
          <w:szCs w:val="22"/>
        </w:rPr>
        <w:t xml:space="preserve">. All four test cases below call the </w:t>
      </w:r>
      <w:r>
        <w:rPr>
          <w:b/>
          <w:bCs/>
          <w:color w:val="222222"/>
          <w:sz w:val="22"/>
          <w:szCs w:val="22"/>
        </w:rPr>
        <w:t>real Hospital Service backend</w:t>
      </w:r>
      <w:r>
        <w:rPr>
          <w:color w:val="222222"/>
          <w:sz w:val="22"/>
          <w:szCs w:val="22"/>
        </w:rPr>
        <w:t xml:space="preserve"> on port </w:t>
      </w:r>
      <w:r>
        <w:rPr>
          <w:rFonts w:eastAsia="Courier New" w:cs="Courier New" w:ascii="Courier New" w:hAnsi="Courier New"/>
          <w:color w:val="222222"/>
          <w:sz w:val="20"/>
          <w:szCs w:val="20"/>
        </w:rPr>
        <w:t>9090</w:t>
      </w:r>
      <w:r>
        <w:rPr>
          <w:color w:val="222222"/>
          <w:sz w:val="22"/>
          <w:szCs w:val="22"/>
        </w:rPr>
        <w:t>, which must be running before the suite is run. Conveniently, all three hospital connections in this project already point at the same local Hospital Service instance, just under different path prefixes (</w:t>
      </w:r>
      <w:r>
        <w:rPr>
          <w:rFonts w:eastAsia="Courier New" w:cs="Courier New" w:ascii="Courier New" w:hAnsi="Courier New"/>
          <w:color w:val="222222"/>
          <w:sz w:val="20"/>
          <w:szCs w:val="20"/>
        </w:rPr>
        <w:t>/grandoaks</w:t>
      </w:r>
      <w:r>
        <w:rPr>
          <w:color w:val="222222"/>
          <w:sz w:val="22"/>
          <w:szCs w:val="22"/>
        </w:rPr>
        <w:t xml:space="preserve">, </w:t>
      </w:r>
      <w:r>
        <w:rPr>
          <w:rFonts w:eastAsia="Courier New" w:cs="Courier New" w:ascii="Courier New" w:hAnsi="Courier New"/>
          <w:color w:val="222222"/>
          <w:sz w:val="20"/>
          <w:szCs w:val="20"/>
        </w:rPr>
        <w:t>/clemency</w:t>
      </w:r>
      <w:r>
        <w:rPr>
          <w:color w:val="222222"/>
          <w:sz w:val="22"/>
          <w:szCs w:val="22"/>
        </w:rPr>
        <w:t xml:space="preserve">, </w:t>
      </w:r>
      <w:r>
        <w:rPr>
          <w:rFonts w:eastAsia="Courier New" w:cs="Courier New" w:ascii="Courier New" w:hAnsi="Courier New"/>
          <w:color w:val="222222"/>
          <w:sz w:val="20"/>
          <w:szCs w:val="20"/>
        </w:rPr>
        <w:t>/pinevalley</w:t>
      </w:r>
      <w:r>
        <w:rPr>
          <w:color w:val="222222"/>
          <w:sz w:val="22"/>
          <w:szCs w:val="22"/>
        </w:rPr>
        <w:t>) — so one running backend covers every test case.</w:t>
      </w:r>
    </w:p>
    <w:p>
      <w:pPr>
        <w:pStyle w:val="Heading1"/>
        <w:spacing w:before="360" w:after="160"/>
        <w:rPr/>
      </w:pPr>
      <w:r>
        <w:rPr>
          <w:b/>
          <w:bCs/>
          <w:color w:val="1C2B46"/>
          <w:sz w:val="32"/>
          <w:szCs w:val="32"/>
        </w:rPr>
        <w:t>Prerequisites</w:t>
      </w:r>
    </w:p>
    <w:p>
      <w:pPr>
        <w:pStyle w:val="ListParagraph"/>
        <w:numPr>
          <w:ilvl w:val="0"/>
          <w:numId w:val="3"/>
        </w:numPr>
        <w:spacing w:before="0" w:after="80"/>
        <w:rPr/>
      </w:pPr>
      <w:r>
        <w:rPr>
          <w:b/>
          <w:bCs/>
          <w:color w:val="222222"/>
          <w:sz w:val="22"/>
          <w:szCs w:val="22"/>
        </w:rPr>
        <w:t>Hospital Service</w:t>
      </w:r>
      <w:r>
        <w:rPr>
          <w:color w:val="222222"/>
          <w:sz w:val="22"/>
          <w:szCs w:val="22"/>
        </w:rPr>
        <w:t xml:space="preserve"> jar running and listening on port </w:t>
      </w:r>
      <w:r>
        <w:rPr>
          <w:rFonts w:eastAsia="Courier New" w:cs="Courier New" w:ascii="Courier New" w:hAnsi="Courier New"/>
          <w:color w:val="222222"/>
          <w:sz w:val="20"/>
          <w:szCs w:val="20"/>
        </w:rPr>
        <w:t>9090</w:t>
      </w:r>
      <w:r>
        <w:rPr>
          <w:color w:val="222222"/>
          <w:sz w:val="22"/>
          <w:szCs w:val="22"/>
        </w:rPr>
        <w:t xml:space="preserve"> (the real backend, not a mock).</w:t>
      </w:r>
    </w:p>
    <w:p>
      <w:pPr>
        <w:pStyle w:val="ListParagraph"/>
        <w:numPr>
          <w:ilvl w:val="0"/>
          <w:numId w:val="1"/>
        </w:numPr>
        <w:spacing w:before="0" w:after="80"/>
        <w:rPr/>
      </w:pPr>
      <w:r>
        <w:rPr>
          <w:b/>
          <w:bCs/>
          <w:color w:val="222222"/>
          <w:sz w:val="22"/>
          <w:szCs w:val="22"/>
        </w:rPr>
        <w:t>ContentBasedRouteTutorial</w:t>
      </w:r>
      <w:r>
        <w:rPr>
          <w:color w:val="222222"/>
          <w:sz w:val="22"/>
          <w:szCs w:val="22"/>
        </w:rPr>
        <w:t xml:space="preserve"> open in VS Code, with the MI server already configured (“Add MI Server”).</w:t>
      </w:r>
    </w:p>
    <w:p>
      <w:pPr>
        <w:pStyle w:val="ListParagraph"/>
        <w:numPr>
          <w:ilvl w:val="0"/>
          <w:numId w:val="1"/>
        </w:numPr>
        <w:spacing w:before="0" w:after="80"/>
        <w:rPr/>
      </w:pPr>
      <w:r>
        <w:rPr>
          <w:color w:val="222222"/>
          <w:sz w:val="22"/>
          <w:szCs w:val="22"/>
        </w:rPr>
        <w:t xml:space="preserve">The </w:t>
      </w:r>
      <w:r>
        <w:rPr>
          <w:b/>
          <w:bCs/>
          <w:color w:val="222222"/>
          <w:sz w:val="22"/>
          <w:szCs w:val="22"/>
        </w:rPr>
        <w:t>Testing</w:t>
      </w:r>
      <w:r>
        <w:rPr>
          <w:color w:val="222222"/>
          <w:sz w:val="22"/>
          <w:szCs w:val="22"/>
        </w:rPr>
        <w:t xml:space="preserve"> extension panel visible in VS Code.</w:t>
      </w:r>
    </w:p>
    <w:p>
      <w:pPr>
        <w:pStyle w:val="Heading1"/>
        <w:spacing w:before="360" w:after="160"/>
        <w:rPr/>
      </w:pPr>
      <w:r>
        <w:rPr>
          <w:b/>
          <w:bCs/>
          <w:color w:val="1C2B46"/>
          <w:sz w:val="32"/>
          <w:szCs w:val="32"/>
        </w:rPr>
        <w:t>Create the Test Suite</w:t>
      </w:r>
    </w:p>
    <w:p>
      <w:pPr>
        <w:pStyle w:val="Normal"/>
        <w:spacing w:before="0" w:after="120"/>
        <w:rPr/>
      </w:pPr>
      <w:r>
        <w:rPr>
          <w:color w:val="222222"/>
          <w:sz w:val="22"/>
          <w:szCs w:val="22"/>
        </w:rPr>
        <w:t>Switch to the Testing extension panel and click Add New Test Suite, then fill in, in order:</w:t>
      </w:r>
    </w:p>
    <w:tbl>
      <w:tblPr>
        <w:tblW w:w="5000" w:type="pct"/>
        <w:jc w:val="start"/>
        <w:tblInd w:w="0" w:type="dxa"/>
        <w:tblLayout w:type="fixed"/>
        <w:tblCellMar>
          <w:top w:w="100" w:type="dxa"/>
          <w:start w:w="140" w:type="dxa"/>
          <w:bottom w:w="100" w:type="dxa"/>
          <w:end w:w="140" w:type="dxa"/>
        </w:tblCellMar>
      </w:tblPr>
      <w:tblGrid>
        <w:gridCol w:w="2776"/>
        <w:gridCol w:w="7264"/>
      </w:tblGrid>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Test Suite Name</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HealthcareAPIRoutingTestSuite</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Artifact Type</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API</w:t>
            </w:r>
          </w:p>
        </w:tc>
      </w:tr>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Artifact</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HealthcareAPI</w:t>
            </w:r>
          </w:p>
        </w:tc>
      </w:tr>
    </w:tbl>
    <w:p>
      <w:pPr>
        <w:pStyle w:val="Normal"/>
        <w:spacing w:before="0" w:after="160"/>
        <w:rPr/>
      </w:pPr>
      <w:r>
        <w:rPr/>
      </w:r>
    </w:p>
    <w:p>
      <w:pPr>
        <w:pStyle w:val="Normal"/>
        <w:spacing w:before="0" w:after="120"/>
        <w:rPr/>
      </w:pPr>
      <w:r>
        <w:rPr>
          <w:color w:val="222222"/>
          <w:sz w:val="22"/>
          <w:szCs w:val="22"/>
        </w:rPr>
        <w:t xml:space="preserve">Still on the same form, two more sections below the </w:t>
      </w:r>
      <w:r>
        <w:rPr>
          <w:rFonts w:eastAsia="Courier New" w:cs="Courier New" w:ascii="Courier New" w:hAnsi="Courier New"/>
          <w:color w:val="222222"/>
          <w:sz w:val="20"/>
          <w:szCs w:val="20"/>
        </w:rPr>
        <w:t>Artifact</w:t>
      </w:r>
      <w:r>
        <w:rPr>
          <w:color w:val="222222"/>
          <w:sz w:val="22"/>
          <w:szCs w:val="22"/>
        </w:rPr>
        <w:t xml:space="preserve"> field need filling in:</w:t>
      </w:r>
    </w:p>
    <w:p>
      <w:pPr>
        <w:pStyle w:val="ListParagraph"/>
        <w:numPr>
          <w:ilvl w:val="0"/>
          <w:numId w:val="1"/>
        </w:numPr>
        <w:spacing w:before="0" w:after="80"/>
        <w:rPr/>
      </w:pPr>
      <w:r>
        <w:rPr>
          <w:b/>
          <w:bCs/>
          <w:color w:val="222222"/>
          <w:sz w:val="22"/>
          <w:szCs w:val="22"/>
        </w:rPr>
        <w:t>+ Add Supportive Artifact</w:t>
      </w:r>
      <w:r>
        <w:rPr>
          <w:color w:val="222222"/>
          <w:sz w:val="22"/>
          <w:szCs w:val="22"/>
        </w:rPr>
        <w:t xml:space="preserve"> — click it three times, picking </w:t>
      </w:r>
      <w:r>
        <w:rPr>
          <w:rFonts w:eastAsia="Courier New" w:cs="Courier New" w:ascii="Courier New" w:hAnsi="Courier New"/>
          <w:color w:val="222222"/>
          <w:sz w:val="20"/>
          <w:szCs w:val="20"/>
        </w:rPr>
        <w:t>GrandOakConn</w:t>
      </w:r>
      <w:r>
        <w:rPr>
          <w:color w:val="222222"/>
          <w:sz w:val="22"/>
          <w:szCs w:val="22"/>
        </w:rPr>
        <w:t xml:space="preserve">, </w:t>
      </w:r>
      <w:r>
        <w:rPr>
          <w:rFonts w:eastAsia="Courier New" w:cs="Courier New" w:ascii="Courier New" w:hAnsi="Courier New"/>
          <w:color w:val="222222"/>
          <w:sz w:val="20"/>
          <w:szCs w:val="20"/>
        </w:rPr>
        <w:t>ClemencyConn</w:t>
      </w:r>
      <w:r>
        <w:rPr>
          <w:color w:val="222222"/>
          <w:sz w:val="22"/>
          <w:szCs w:val="22"/>
        </w:rPr>
        <w:t xml:space="preserve">, and </w:t>
      </w:r>
      <w:r>
        <w:rPr>
          <w:rFonts w:eastAsia="Courier New" w:cs="Courier New" w:ascii="Courier New" w:hAnsi="Courier New"/>
          <w:color w:val="222222"/>
          <w:sz w:val="20"/>
          <w:szCs w:val="20"/>
        </w:rPr>
        <w:t>PineValleyConn</w:t>
      </w:r>
      <w:r>
        <w:rPr>
          <w:color w:val="222222"/>
          <w:sz w:val="22"/>
          <w:szCs w:val="22"/>
        </w:rPr>
        <w:t xml:space="preserve"> from the dropdown.</w:t>
      </w:r>
    </w:p>
    <w:p>
      <w:pPr>
        <w:pStyle w:val="ListParagraph"/>
        <w:numPr>
          <w:ilvl w:val="0"/>
          <w:numId w:val="1"/>
        </w:numPr>
        <w:spacing w:before="0" w:after="80"/>
        <w:rPr/>
      </w:pPr>
      <w:r>
        <w:rPr>
          <w:b/>
          <w:bCs/>
          <w:color w:val="222222"/>
          <w:sz w:val="22"/>
          <w:szCs w:val="22"/>
        </w:rPr>
        <w:t>+ Add Connector Resource</w:t>
      </w:r>
      <w:r>
        <w:rPr>
          <w:color w:val="222222"/>
          <w:sz w:val="22"/>
          <w:szCs w:val="22"/>
        </w:rPr>
        <w:t xml:space="preserve"> — click it once and select </w:t>
      </w:r>
      <w:r>
        <w:rPr>
          <w:rFonts w:eastAsia="Courier New" w:cs="Courier New" w:ascii="Courier New" w:hAnsi="Courier New"/>
          <w:color w:val="222222"/>
          <w:sz w:val="20"/>
          <w:szCs w:val="20"/>
        </w:rPr>
        <w:t>HTTP</w:t>
      </w:r>
      <w:r>
        <w:rPr>
          <w:color w:val="222222"/>
          <w:sz w:val="22"/>
          <w:szCs w:val="22"/>
        </w:rPr>
        <w:t>.</w:t>
      </w:r>
    </w:p>
    <w:p>
      <w:pPr>
        <w:pStyle w:val="Normal"/>
        <w:spacing w:before="0" w:after="200"/>
        <w:rPr/>
      </w:pPr>
      <w:r>
        <w:rPr>
          <w:i/>
          <w:iCs/>
          <w:color w:val="555555"/>
          <w:sz w:val="20"/>
          <w:szCs w:val="20"/>
        </w:rPr>
        <w:t>Required because HealthcareAPI reaches its backend through the HTTP Connector (http.post configKey="GrandOakConn", etc.) — the isolated test run needs these to resolve that connection and load the connector's operations. Skip this and the suite fails immediately at deployment, before any test case runs (status: DEPLOYMENT FAILED). If the Connector Resource dropdown is empty, build the project once first (Build Project) so its dependency is available to pick from.</w:t>
      </w:r>
    </w:p>
    <w:p>
      <w:pPr>
        <w:pStyle w:val="Heading1"/>
        <w:spacing w:before="360" w:after="160"/>
        <w:rPr/>
      </w:pPr>
      <w:r>
        <w:rPr>
          <w:b/>
          <w:bCs/>
          <w:color w:val="1C2B46"/>
          <w:sz w:val="32"/>
          <w:szCs w:val="32"/>
        </w:rPr>
        <w:t>The Four Test Cases</w:t>
      </w:r>
    </w:p>
    <w:p>
      <w:pPr>
        <w:pStyle w:val="Normal"/>
        <w:spacing w:before="0" w:after="80"/>
        <w:rPr/>
      </w:pPr>
      <w:r>
        <w:rPr>
          <w:color w:val="222222"/>
          <w:sz w:val="22"/>
          <w:szCs w:val="22"/>
        </w:rPr>
        <w:t>Add all four as test cases within the one suite above. Each uses the same Resource Path / Method; only the Input Payload differs.</w:t>
      </w:r>
    </w:p>
    <w:p>
      <w:pPr>
        <w:pStyle w:val="Normal"/>
        <w:spacing w:before="0" w:after="160"/>
        <w:rPr/>
      </w:pPr>
      <w:r>
        <w:rPr>
          <w:color w:val="222222"/>
          <w:sz w:val="22"/>
          <w:szCs w:val="22"/>
        </w:rPr>
        <w:t xml:space="preserve">For each one, click </w:t>
      </w:r>
      <w:r>
        <w:rPr>
          <w:b/>
          <w:bCs/>
          <w:color w:val="222222"/>
          <w:sz w:val="22"/>
          <w:szCs w:val="22"/>
        </w:rPr>
        <w:t>Add test case</w:t>
      </w:r>
      <w:r>
        <w:rPr>
          <w:color w:val="222222"/>
          <w:sz w:val="22"/>
          <w:szCs w:val="22"/>
        </w:rPr>
        <w:t xml:space="preserve">, fill in the </w:t>
      </w:r>
      <w:r>
        <w:rPr>
          <w:b/>
          <w:bCs/>
          <w:color w:val="222222"/>
          <w:sz w:val="22"/>
          <w:szCs w:val="22"/>
        </w:rPr>
        <w:t>Test Case Name</w:t>
      </w:r>
      <w:r>
        <w:rPr>
          <w:color w:val="222222"/>
          <w:sz w:val="22"/>
          <w:szCs w:val="22"/>
        </w:rPr>
        <w:t xml:space="preserve">, </w:t>
      </w:r>
      <w:r>
        <w:rPr>
          <w:b/>
          <w:bCs/>
          <w:color w:val="222222"/>
          <w:sz w:val="22"/>
          <w:szCs w:val="22"/>
        </w:rPr>
        <w:t>Resource Path</w:t>
      </w:r>
      <w:r>
        <w:rPr>
          <w:color w:val="222222"/>
          <w:sz w:val="22"/>
          <w:szCs w:val="22"/>
        </w:rPr>
        <w:t xml:space="preserve"> and </w:t>
      </w:r>
      <w:r>
        <w:rPr>
          <w:b/>
          <w:bCs/>
          <w:color w:val="222222"/>
          <w:sz w:val="22"/>
          <w:szCs w:val="22"/>
        </w:rPr>
        <w:t>Resource Method</w:t>
      </w:r>
      <w:r>
        <w:rPr>
          <w:color w:val="222222"/>
          <w:sz w:val="22"/>
          <w:szCs w:val="22"/>
        </w:rPr>
        <w:t xml:space="preserve"> shown below, then paste the JSON shown for that case into the </w:t>
      </w:r>
      <w:r>
        <w:rPr>
          <w:b/>
          <w:bCs/>
          <w:color w:val="222222"/>
          <w:sz w:val="22"/>
          <w:szCs w:val="22"/>
        </w:rPr>
        <w:t>Input Payload</w:t>
      </w:r>
      <w:r>
        <w:rPr>
          <w:color w:val="222222"/>
          <w:sz w:val="22"/>
          <w:szCs w:val="22"/>
        </w:rPr>
        <w:t xml:space="preserve"> box in the same form. Every assertion you add also has a required </w:t>
      </w:r>
      <w:r>
        <w:rPr>
          <w:b/>
          <w:bCs/>
          <w:color w:val="222222"/>
          <w:sz w:val="22"/>
          <w:szCs w:val="22"/>
        </w:rPr>
        <w:t>Error Message</w:t>
      </w:r>
      <w:r>
        <w:rPr>
          <w:color w:val="222222"/>
          <w:sz w:val="22"/>
          <w:szCs w:val="22"/>
        </w:rPr>
        <w:t xml:space="preserve"> field — this is just the text printed when that assertion fails, so use the value suggested under each assertion below.</w:t>
      </w:r>
    </w:p>
    <w:tbl>
      <w:tblPr>
        <w:tblW w:w="5000" w:type="pct"/>
        <w:jc w:val="start"/>
        <w:tblInd w:w="0" w:type="dxa"/>
        <w:tblLayout w:type="fixed"/>
        <w:tblCellMar>
          <w:top w:w="180" w:type="dxa"/>
          <w:start w:w="240" w:type="dxa"/>
          <w:bottom w:w="180" w:type="dxa"/>
          <w:end w:w="240" w:type="dxa"/>
        </w:tblCellMar>
      </w:tblPr>
      <w:tblGrid>
        <w:gridCol w:w="10040"/>
      </w:tblGrid>
      <w:tr>
        <w:trPr/>
        <w:tc>
          <w:tcPr>
            <w:tcW w:w="10040" w:type="dxa"/>
            <w:tcBorders>
              <w:start w:val="single" w:sz="24" w:space="0" w:color="1C2B46"/>
            </w:tcBorders>
            <w:shd w:color="auto" w:fill="F3F3F1" w:val="clear"/>
          </w:tcPr>
          <w:p>
            <w:pPr>
              <w:pStyle w:val="Normal"/>
              <w:spacing w:before="0" w:after="80"/>
              <w:rPr/>
            </w:pPr>
            <w:r>
              <w:rPr>
                <w:b/>
                <w:bCs/>
                <w:color w:val="1C2B46"/>
                <w:sz w:val="22"/>
                <w:szCs w:val="22"/>
              </w:rPr>
              <w:t>Only one field actually matters here</w:t>
            </w:r>
          </w:p>
          <w:p>
            <w:pPr>
              <w:pStyle w:val="Normal"/>
              <w:rPr/>
            </w:pPr>
            <w:r>
              <w:rPr>
                <w:color w:val="333333"/>
                <w:sz w:val="21"/>
                <w:szCs w:val="21"/>
              </w:rPr>
              <w:t>Every payload below is the same full reservation request from earlier modules — patient details, doctor, hospital_id, hospital, appointment_date. The &lt;switch&gt; only ever reads "hospital". Every other field is along for the ride: change them and routing behaves identically, because the backend call (and the InvalidHospital case) don't depend on them for the routing decision either.</w:t>
            </w:r>
          </w:p>
        </w:tc>
      </w:tr>
    </w:tbl>
    <w:p>
      <w:pPr>
        <w:pStyle w:val="Normal"/>
        <w:spacing w:before="0" w:after="160"/>
        <w:rPr/>
      </w:pPr>
      <w:r>
        <w:rPr/>
      </w:r>
    </w:p>
    <w:p>
      <w:pPr>
        <w:pStyle w:val="Heading2"/>
        <w:spacing w:before="280" w:after="120"/>
        <w:rPr/>
      </w:pPr>
      <w:r>
        <w:rPr>
          <w:b/>
          <w:bCs/>
          <w:color w:val="1C2B46"/>
          <w:sz w:val="26"/>
          <w:szCs w:val="26"/>
        </w:rPr>
        <w:t>1. GrandOakReservation</w:t>
      </w:r>
    </w:p>
    <w:tbl>
      <w:tblPr>
        <w:tblW w:w="5000" w:type="pct"/>
        <w:jc w:val="start"/>
        <w:tblInd w:w="0" w:type="dxa"/>
        <w:tblLayout w:type="fixed"/>
        <w:tblCellMar>
          <w:top w:w="100" w:type="dxa"/>
          <w:start w:w="140" w:type="dxa"/>
          <w:bottom w:w="100" w:type="dxa"/>
          <w:end w:w="140" w:type="dxa"/>
        </w:tblCellMar>
      </w:tblPr>
      <w:tblGrid>
        <w:gridCol w:w="2776"/>
        <w:gridCol w:w="7264"/>
      </w:tblGrid>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Test Case Name</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GrandOakReservation</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Resource Path</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/categories/surgery/reserve</w:t>
            </w:r>
          </w:p>
        </w:tc>
      </w:tr>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Resource Method</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POST</w:t>
            </w:r>
          </w:p>
        </w:tc>
      </w:tr>
    </w:tbl>
    <w:p>
      <w:pPr>
        <w:pStyle w:val="Normal"/>
        <w:spacing w:before="0" w:after="120"/>
        <w:rPr/>
      </w:pPr>
      <w:r>
        <w:rPr/>
      </w:r>
    </w:p>
    <w:p>
      <w:pPr>
        <w:pStyle w:val="Normal"/>
        <w:spacing w:before="0" w:after="80"/>
        <w:rPr/>
      </w:pPr>
      <w:r>
        <w:rPr>
          <w:b/>
          <w:bCs/>
          <w:color w:val="222222"/>
          <w:sz w:val="22"/>
          <w:szCs w:val="22"/>
        </w:rPr>
        <w:t>Input Payload</w:t>
      </w:r>
      <w:r>
        <w:rPr>
          <w:color w:val="222222"/>
          <w:sz w:val="22"/>
          <w:szCs w:val="22"/>
        </w:rPr>
        <w:t xml:space="preserve"> field — paste this JSON in:</w:t>
      </w:r>
    </w:p>
    <w:tbl>
      <w:tblPr>
        <w:tblW w:w="5000" w:type="pct"/>
        <w:jc w:val="start"/>
        <w:tblInd w:w="0" w:type="dxa"/>
        <w:tblLayout w:type="fixed"/>
        <w:tblCellMar>
          <w:top w:w="160" w:type="dxa"/>
          <w:start w:w="220" w:type="dxa"/>
          <w:bottom w:w="160" w:type="dxa"/>
          <w:end w:w="220" w:type="dxa"/>
        </w:tblCellMar>
      </w:tblPr>
      <w:tblGrid>
        <w:gridCol w:w="10040"/>
      </w:tblGrid>
      <w:tr>
        <w:trPr/>
        <w:tc>
          <w:tcPr>
            <w:tcW w:w="10040" w:type="dxa"/>
            <w:tcBorders/>
            <w:shd w:color="auto" w:fill="EAF0F8" w:val="clear"/>
          </w:tcPr>
          <w:p>
            <w:pPr>
              <w:pStyle w:val="Normal"/>
              <w:spacing w:before="0" w:after="20"/>
              <w:rPr/>
            </w:pPr>
            <w:r>
              <w:rPr>
                <w:rFonts w:eastAsia="Courier New" w:cs="Courier New" w:ascii="Courier New" w:hAnsi="Courier New"/>
                <w:color w:val="17304F"/>
                <w:sz w:val="19"/>
                <w:szCs w:val="19"/>
              </w:rPr>
              <w:t>{</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"patient": {</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"name": "John Doe",</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"dob": "1940-03-19",</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"ssn": "234-23-525",</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"address": "California",</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"phone": "8770586755",</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"email": "johndoe@gmail.com"</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"doctor": "thomas collins",</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"hospital_id": "grandoaks",</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"hospital": "grand oak community hospital",</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"appointment_date": "2025-04-02"</w:t>
            </w:r>
          </w:p>
          <w:p>
            <w:pPr>
              <w:pStyle w:val="Normal"/>
              <w:spacing w:before="0" w:after="20"/>
              <w:rPr/>
            </w:pPr>
            <w:r>
              <w:rPr>
                <w:rFonts w:eastAsia="Courier New" w:cs="Courier New" w:ascii="Courier New" w:hAnsi="Courier New"/>
                <w:color w:val="17304F"/>
                <w:sz w:val="19"/>
                <w:szCs w:val="19"/>
              </w:rPr>
              <w:t>}</w:t>
            </w:r>
          </w:p>
        </w:tc>
      </w:tr>
    </w:tbl>
    <w:p>
      <w:pPr>
        <w:pStyle w:val="Normal"/>
        <w:spacing w:before="0" w:after="120"/>
        <w:rPr/>
      </w:pPr>
      <w:r>
        <w:rPr/>
      </w:r>
    </w:p>
    <w:tbl>
      <w:tblPr>
        <w:tblW w:w="5000" w:type="pct"/>
        <w:jc w:val="start"/>
        <w:tblInd w:w="0" w:type="dxa"/>
        <w:tblLayout w:type="fixed"/>
        <w:tblCellMar>
          <w:top w:w="100" w:type="dxa"/>
          <w:start w:w="140" w:type="dxa"/>
          <w:bottom w:w="100" w:type="dxa"/>
          <w:end w:w="140" w:type="dxa"/>
        </w:tblCellMar>
      </w:tblPr>
      <w:tblGrid>
        <w:gridCol w:w="2776"/>
        <w:gridCol w:w="7264"/>
      </w:tblGrid>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Assertion 1</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Status Code = 200 (AssertEquals)</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Error Message</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Expected HTTP 200 when routing to GrandOak Community Hospital</w:t>
            </w:r>
          </w:p>
        </w:tc>
      </w:tr>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Assertion 2</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Payload is not null (AssertNotNull)</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Error Message</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GrandOak reservation response payload was null</w:t>
            </w:r>
          </w:p>
        </w:tc>
      </w:tr>
    </w:tbl>
    <w:p>
      <w:pPr>
        <w:pStyle w:val="Normal"/>
        <w:spacing w:before="0" w:after="100"/>
        <w:rPr>
          <w:color w:val="222222"/>
          <w:sz w:val="22"/>
          <w:szCs w:val="22"/>
        </w:rPr>
      </w:pPr>
      <w:r>
        <w:rPr/>
      </w:r>
      <w:r>
        <w:br w:type="page"/>
      </w:r>
    </w:p>
    <w:p>
      <w:pPr>
        <w:pStyle w:val="Heading2"/>
        <w:spacing w:before="0" w:after="120"/>
        <w:rPr/>
      </w:pPr>
      <w:r>
        <w:rPr>
          <w:b/>
          <w:bCs/>
          <w:color w:val="1C2B46"/>
          <w:sz w:val="26"/>
          <w:szCs w:val="26"/>
        </w:rPr>
        <w:t>2. ClemencyReservation</w:t>
      </w:r>
    </w:p>
    <w:tbl>
      <w:tblPr>
        <w:tblW w:w="5000" w:type="pct"/>
        <w:jc w:val="start"/>
        <w:tblInd w:w="0" w:type="dxa"/>
        <w:tblLayout w:type="fixed"/>
        <w:tblCellMar>
          <w:top w:w="100" w:type="dxa"/>
          <w:start w:w="140" w:type="dxa"/>
          <w:bottom w:w="100" w:type="dxa"/>
          <w:end w:w="140" w:type="dxa"/>
        </w:tblCellMar>
      </w:tblPr>
      <w:tblGrid>
        <w:gridCol w:w="2776"/>
        <w:gridCol w:w="7264"/>
      </w:tblGrid>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Test Case Name</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ClemencyReservation</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Resource Path</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/categories/surgery/reserve</w:t>
            </w:r>
          </w:p>
        </w:tc>
      </w:tr>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Resource Method</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POST</w:t>
            </w:r>
          </w:p>
        </w:tc>
      </w:tr>
    </w:tbl>
    <w:p>
      <w:pPr>
        <w:pStyle w:val="Normal"/>
        <w:spacing w:before="0" w:after="120"/>
        <w:rPr/>
      </w:pPr>
      <w:r>
        <w:rPr/>
      </w:r>
    </w:p>
    <w:p>
      <w:pPr>
        <w:pStyle w:val="Normal"/>
        <w:spacing w:before="0" w:after="80"/>
        <w:rPr/>
      </w:pPr>
      <w:r>
        <w:rPr>
          <w:b/>
          <w:bCs/>
          <w:color w:val="222222"/>
          <w:sz w:val="22"/>
          <w:szCs w:val="22"/>
        </w:rPr>
        <w:t>Input Payload</w:t>
      </w:r>
      <w:r>
        <w:rPr>
          <w:color w:val="222222"/>
          <w:sz w:val="22"/>
          <w:szCs w:val="22"/>
        </w:rPr>
        <w:t xml:space="preserve"> field — paste this JSON in:</w:t>
      </w:r>
    </w:p>
    <w:tbl>
      <w:tblPr>
        <w:tblW w:w="5000" w:type="pct"/>
        <w:jc w:val="start"/>
        <w:tblInd w:w="0" w:type="dxa"/>
        <w:tblLayout w:type="fixed"/>
        <w:tblCellMar>
          <w:top w:w="160" w:type="dxa"/>
          <w:start w:w="220" w:type="dxa"/>
          <w:bottom w:w="160" w:type="dxa"/>
          <w:end w:w="220" w:type="dxa"/>
        </w:tblCellMar>
      </w:tblPr>
      <w:tblGrid>
        <w:gridCol w:w="10040"/>
      </w:tblGrid>
      <w:tr>
        <w:trPr/>
        <w:tc>
          <w:tcPr>
            <w:tcW w:w="10040" w:type="dxa"/>
            <w:tcBorders/>
            <w:shd w:color="auto" w:fill="EAF0F8" w:val="clear"/>
          </w:tcPr>
          <w:p>
            <w:pPr>
              <w:pStyle w:val="Normal"/>
              <w:spacing w:before="0" w:after="20"/>
              <w:rPr/>
            </w:pPr>
            <w:r>
              <w:rPr>
                <w:rFonts w:eastAsia="Courier New" w:cs="Courier New" w:ascii="Courier New" w:hAnsi="Courier New"/>
                <w:color w:val="17304F"/>
                <w:sz w:val="19"/>
                <w:szCs w:val="19"/>
              </w:rPr>
              <w:t>{</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"patient": {</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"name": "Jane Roe",</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"dob": "1985-07-22",</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"ssn": "198-45-332",</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"address": "Texas",</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"phone": "5551234567",</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"email": "janeroe@gmail.com"</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"doctor": "anne clement",</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"hospital_id": "clemency",</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"hospital": "clemency medical center",</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"appointment_date": "2025-04-02"</w:t>
            </w:r>
          </w:p>
          <w:p>
            <w:pPr>
              <w:pStyle w:val="Normal"/>
              <w:spacing w:before="0" w:after="20"/>
              <w:rPr/>
            </w:pPr>
            <w:r>
              <w:rPr>
                <w:rFonts w:eastAsia="Courier New" w:cs="Courier New" w:ascii="Courier New" w:hAnsi="Courier New"/>
                <w:color w:val="17304F"/>
                <w:sz w:val="19"/>
                <w:szCs w:val="19"/>
              </w:rPr>
              <w:t>}</w:t>
            </w:r>
          </w:p>
        </w:tc>
      </w:tr>
    </w:tbl>
    <w:p>
      <w:pPr>
        <w:pStyle w:val="Normal"/>
        <w:spacing w:before="0" w:after="120"/>
        <w:rPr/>
      </w:pPr>
      <w:r>
        <w:rPr/>
      </w:r>
    </w:p>
    <w:tbl>
      <w:tblPr>
        <w:tblW w:w="5000" w:type="pct"/>
        <w:jc w:val="start"/>
        <w:tblInd w:w="0" w:type="dxa"/>
        <w:tblLayout w:type="fixed"/>
        <w:tblCellMar>
          <w:top w:w="100" w:type="dxa"/>
          <w:start w:w="140" w:type="dxa"/>
          <w:bottom w:w="100" w:type="dxa"/>
          <w:end w:w="140" w:type="dxa"/>
        </w:tblCellMar>
      </w:tblPr>
      <w:tblGrid>
        <w:gridCol w:w="2776"/>
        <w:gridCol w:w="7264"/>
      </w:tblGrid>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Assertion 1</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Status Code = 200 (AssertEquals)</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Error Message</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Expected HTTP 200 when routing to Clemency Medical Center</w:t>
            </w:r>
          </w:p>
        </w:tc>
      </w:tr>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Assertion 2</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Payload is not null (AssertNotNull)</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Error Message</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Clemency reservation response payload was null</w:t>
            </w:r>
          </w:p>
        </w:tc>
      </w:tr>
    </w:tbl>
    <w:p>
      <w:pPr>
        <w:pStyle w:val="Normal"/>
        <w:spacing w:before="0" w:after="100"/>
        <w:rPr/>
      </w:pPr>
      <w:r>
        <w:rPr/>
      </w:r>
    </w:p>
    <w:p>
      <w:pPr>
        <w:pStyle w:val="Heading2"/>
        <w:spacing w:before="280" w:after="120"/>
        <w:rPr/>
      </w:pPr>
      <w:r>
        <w:rPr>
          <w:b/>
          <w:bCs/>
          <w:color w:val="1C2B46"/>
          <w:sz w:val="26"/>
          <w:szCs w:val="26"/>
        </w:rPr>
        <w:t>3. PineValleyReservation</w:t>
      </w:r>
    </w:p>
    <w:tbl>
      <w:tblPr>
        <w:tblW w:w="5000" w:type="pct"/>
        <w:jc w:val="start"/>
        <w:tblInd w:w="0" w:type="dxa"/>
        <w:tblLayout w:type="fixed"/>
        <w:tblCellMar>
          <w:top w:w="100" w:type="dxa"/>
          <w:start w:w="140" w:type="dxa"/>
          <w:bottom w:w="100" w:type="dxa"/>
          <w:end w:w="140" w:type="dxa"/>
        </w:tblCellMar>
      </w:tblPr>
      <w:tblGrid>
        <w:gridCol w:w="2776"/>
        <w:gridCol w:w="7264"/>
      </w:tblGrid>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Test Case Name</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PineValleyReservation</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Resource Path</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/categories/surgery/reserve</w:t>
            </w:r>
          </w:p>
        </w:tc>
      </w:tr>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Resource Method</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POST</w:t>
            </w:r>
          </w:p>
        </w:tc>
      </w:tr>
    </w:tbl>
    <w:p>
      <w:pPr>
        <w:pStyle w:val="Normal"/>
        <w:spacing w:before="0" w:after="120"/>
        <w:rPr/>
      </w:pPr>
      <w:r>
        <w:rPr/>
      </w:r>
    </w:p>
    <w:p>
      <w:pPr>
        <w:pStyle w:val="Normal"/>
        <w:spacing w:before="0" w:after="80"/>
        <w:rPr/>
      </w:pPr>
      <w:r>
        <w:rPr>
          <w:b/>
          <w:bCs/>
          <w:color w:val="222222"/>
          <w:sz w:val="22"/>
          <w:szCs w:val="22"/>
        </w:rPr>
        <w:t>Input Payload</w:t>
      </w:r>
      <w:r>
        <w:rPr>
          <w:color w:val="222222"/>
          <w:sz w:val="22"/>
          <w:szCs w:val="22"/>
        </w:rPr>
        <w:t xml:space="preserve"> field — paste this JSON in:</w:t>
      </w:r>
    </w:p>
    <w:tbl>
      <w:tblPr>
        <w:tblW w:w="5000" w:type="pct"/>
        <w:jc w:val="start"/>
        <w:tblInd w:w="0" w:type="dxa"/>
        <w:tblLayout w:type="fixed"/>
        <w:tblCellMar>
          <w:top w:w="160" w:type="dxa"/>
          <w:start w:w="220" w:type="dxa"/>
          <w:bottom w:w="160" w:type="dxa"/>
          <w:end w:w="220" w:type="dxa"/>
        </w:tblCellMar>
      </w:tblPr>
      <w:tblGrid>
        <w:gridCol w:w="10040"/>
      </w:tblGrid>
      <w:tr>
        <w:trPr/>
        <w:tc>
          <w:tcPr>
            <w:tcW w:w="10040" w:type="dxa"/>
            <w:tcBorders/>
            <w:shd w:color="auto" w:fill="EAF0F8" w:val="clear"/>
          </w:tcPr>
          <w:p>
            <w:pPr>
              <w:pStyle w:val="Normal"/>
              <w:spacing w:before="0" w:after="20"/>
              <w:rPr/>
            </w:pPr>
            <w:r>
              <w:rPr>
                <w:rFonts w:eastAsia="Courier New" w:cs="Courier New" w:ascii="Courier New" w:hAnsi="Courier New"/>
                <w:color w:val="17304F"/>
                <w:sz w:val="19"/>
                <w:szCs w:val="19"/>
              </w:rPr>
              <w:t>{</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"patient": {</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"name": "Sam Lee",</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"dob": "1972-11-05",</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"ssn": "221-67-890",</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"address": "Nevada",</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"phone": "5559876543",</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"email": "samlee@gmail.com"</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"doctor": "seth mears",</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"hospital_id": "pinevalley",</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"hospital": "pine valley community hospital",</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"appointment_date": "2025-04-02"</w:t>
            </w:r>
          </w:p>
          <w:p>
            <w:pPr>
              <w:pStyle w:val="Normal"/>
              <w:spacing w:before="0" w:after="20"/>
              <w:rPr/>
            </w:pPr>
            <w:r>
              <w:rPr>
                <w:rFonts w:eastAsia="Courier New" w:cs="Courier New" w:ascii="Courier New" w:hAnsi="Courier New"/>
                <w:color w:val="17304F"/>
                <w:sz w:val="19"/>
                <w:szCs w:val="19"/>
              </w:rPr>
              <w:t>}</w:t>
            </w:r>
          </w:p>
        </w:tc>
      </w:tr>
    </w:tbl>
    <w:p>
      <w:pPr>
        <w:pStyle w:val="Normal"/>
        <w:spacing w:before="0" w:after="120"/>
        <w:rPr/>
      </w:pPr>
      <w:r>
        <w:rPr/>
      </w:r>
    </w:p>
    <w:tbl>
      <w:tblPr>
        <w:tblW w:w="5000" w:type="pct"/>
        <w:jc w:val="start"/>
        <w:tblInd w:w="0" w:type="dxa"/>
        <w:tblLayout w:type="fixed"/>
        <w:tblCellMar>
          <w:top w:w="100" w:type="dxa"/>
          <w:start w:w="140" w:type="dxa"/>
          <w:bottom w:w="100" w:type="dxa"/>
          <w:end w:w="140" w:type="dxa"/>
        </w:tblCellMar>
      </w:tblPr>
      <w:tblGrid>
        <w:gridCol w:w="2776"/>
        <w:gridCol w:w="7264"/>
      </w:tblGrid>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Assertion 1</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Status Code = 200 (AssertEquals)</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Error Message</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Expected HTTP 200 when routing to Pine Valley Community Hospital</w:t>
            </w:r>
          </w:p>
        </w:tc>
      </w:tr>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Assertion 2</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Payload is not null (AssertNotNull)</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Error Message</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Pine Valley reservation response payload was null</w:t>
            </w:r>
          </w:p>
        </w:tc>
      </w:tr>
    </w:tbl>
    <w:p>
      <w:pPr>
        <w:pStyle w:val="Normal"/>
        <w:spacing w:before="0" w:after="100"/>
        <w:rPr>
          <w:color w:val="222222"/>
          <w:sz w:val="22"/>
          <w:szCs w:val="22"/>
        </w:rPr>
      </w:pPr>
      <w:r>
        <w:rPr/>
      </w:r>
      <w:r>
        <w:br w:type="page"/>
      </w:r>
    </w:p>
    <w:p>
      <w:pPr>
        <w:pStyle w:val="Heading2"/>
        <w:spacing w:before="0" w:after="120"/>
        <w:rPr/>
      </w:pPr>
      <w:r>
        <w:rPr>
          <w:b/>
          <w:bCs/>
          <w:color w:val="1C2B46"/>
          <w:sz w:val="26"/>
          <w:szCs w:val="26"/>
        </w:rPr>
        <w:t>4. InvalidHospital (the default branch)</w:t>
      </w:r>
    </w:p>
    <w:p>
      <w:pPr>
        <w:pStyle w:val="Normal"/>
        <w:spacing w:before="0" w:after="120"/>
        <w:rPr/>
      </w:pPr>
      <w:r>
        <w:rPr>
          <w:color w:val="222222"/>
          <w:sz w:val="22"/>
          <w:szCs w:val="22"/>
        </w:rPr>
        <w:t xml:space="preserve">This is the one case that doesn’t call the backend at all — the </w:t>
      </w:r>
      <w:r>
        <w:rPr>
          <w:rFonts w:eastAsia="Courier New" w:cs="Courier New" w:ascii="Courier New" w:hAnsi="Courier New"/>
          <w:color w:val="222222"/>
          <w:sz w:val="20"/>
          <w:szCs w:val="20"/>
        </w:rPr>
        <w:t>&lt;switch&gt;</w:t>
      </w:r>
      <w:r>
        <w:rPr>
          <w:color w:val="222222"/>
          <w:sz w:val="22"/>
          <w:szCs w:val="22"/>
        </w:rPr>
        <w:t xml:space="preserve">'s </w:t>
      </w:r>
      <w:r>
        <w:rPr>
          <w:rFonts w:eastAsia="Courier New" w:cs="Courier New" w:ascii="Courier New" w:hAnsi="Courier New"/>
          <w:color w:val="222222"/>
          <w:sz w:val="20"/>
          <w:szCs w:val="20"/>
        </w:rPr>
        <w:t>&lt;default&gt;</w:t>
      </w:r>
      <w:r>
        <w:rPr>
          <w:color w:val="222222"/>
          <w:sz w:val="22"/>
          <w:szCs w:val="22"/>
        </w:rPr>
        <w:t xml:space="preserve"> branch only logs and falls through to </w:t>
      </w:r>
      <w:r>
        <w:rPr>
          <w:rFonts w:eastAsia="Courier New" w:cs="Courier New" w:ascii="Courier New" w:hAnsi="Courier New"/>
          <w:color w:val="222222"/>
          <w:sz w:val="20"/>
          <w:szCs w:val="20"/>
        </w:rPr>
        <w:t>&lt;respond/&gt;</w:t>
      </w:r>
      <w:r>
        <w:rPr>
          <w:color w:val="222222"/>
          <w:sz w:val="22"/>
          <w:szCs w:val="22"/>
        </w:rPr>
        <w:t xml:space="preserve">, so the client gets back its </w:t>
      </w:r>
      <w:r>
        <w:rPr>
          <w:b/>
          <w:bCs/>
          <w:color w:val="222222"/>
          <w:sz w:val="22"/>
          <w:szCs w:val="22"/>
        </w:rPr>
        <w:t>own original payload, completely unchanged</w:t>
      </w:r>
      <w:r>
        <w:rPr>
          <w:color w:val="222222"/>
          <w:sz w:val="22"/>
          <w:szCs w:val="22"/>
        </w:rPr>
        <w:t xml:space="preserve">. The payload below is </w:t>
      </w:r>
      <w:r>
        <w:rPr>
          <w:b/>
          <w:bCs/>
          <w:color w:val="222222"/>
          <w:sz w:val="22"/>
          <w:szCs w:val="22"/>
        </w:rPr>
        <w:t>identical to GrandOakReservation</w:t>
      </w:r>
      <w:r>
        <w:rPr>
          <w:color w:val="222222"/>
          <w:sz w:val="22"/>
          <w:szCs w:val="22"/>
        </w:rPr>
        <w:t xml:space="preserve"> above, with only </w:t>
      </w:r>
      <w:r>
        <w:rPr>
          <w:rFonts w:eastAsia="Courier New" w:cs="Courier New" w:ascii="Courier New" w:hAnsi="Courier New"/>
          <w:color w:val="222222"/>
          <w:sz w:val="20"/>
          <w:szCs w:val="20"/>
        </w:rPr>
        <w:t>"hospital"</w:t>
      </w:r>
      <w:r>
        <w:rPr>
          <w:color w:val="222222"/>
          <w:sz w:val="22"/>
          <w:szCs w:val="22"/>
        </w:rPr>
        <w:t xml:space="preserve"> changed — proof that nothing else in the request has any bearing on which branch executes.</w:t>
      </w:r>
    </w:p>
    <w:tbl>
      <w:tblPr>
        <w:tblW w:w="5000" w:type="pct"/>
        <w:jc w:val="start"/>
        <w:tblInd w:w="0" w:type="dxa"/>
        <w:tblLayout w:type="fixed"/>
        <w:tblCellMar>
          <w:top w:w="100" w:type="dxa"/>
          <w:start w:w="140" w:type="dxa"/>
          <w:bottom w:w="100" w:type="dxa"/>
          <w:end w:w="140" w:type="dxa"/>
        </w:tblCellMar>
      </w:tblPr>
      <w:tblGrid>
        <w:gridCol w:w="2776"/>
        <w:gridCol w:w="7264"/>
      </w:tblGrid>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Test Case Name</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InvalidHospital</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Resource Path</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/categories/surgery/reserve</w:t>
            </w:r>
          </w:p>
        </w:tc>
      </w:tr>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Resource Method</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POST</w:t>
            </w:r>
          </w:p>
        </w:tc>
      </w:tr>
    </w:tbl>
    <w:p>
      <w:pPr>
        <w:pStyle w:val="Normal"/>
        <w:spacing w:before="0" w:after="120"/>
        <w:rPr/>
      </w:pPr>
      <w:r>
        <w:rPr/>
      </w:r>
    </w:p>
    <w:p>
      <w:pPr>
        <w:pStyle w:val="Normal"/>
        <w:spacing w:before="0" w:after="80"/>
        <w:rPr/>
      </w:pPr>
      <w:r>
        <w:rPr>
          <w:b/>
          <w:bCs/>
          <w:color w:val="222222"/>
          <w:sz w:val="22"/>
          <w:szCs w:val="22"/>
        </w:rPr>
        <w:t>Input Payload</w:t>
      </w:r>
      <w:r>
        <w:rPr>
          <w:color w:val="222222"/>
          <w:sz w:val="22"/>
          <w:szCs w:val="22"/>
        </w:rPr>
        <w:t xml:space="preserve"> field — paste this JSON in:</w:t>
      </w:r>
    </w:p>
    <w:tbl>
      <w:tblPr>
        <w:tblW w:w="5000" w:type="pct"/>
        <w:jc w:val="start"/>
        <w:tblInd w:w="0" w:type="dxa"/>
        <w:tblLayout w:type="fixed"/>
        <w:tblCellMar>
          <w:top w:w="160" w:type="dxa"/>
          <w:start w:w="220" w:type="dxa"/>
          <w:bottom w:w="160" w:type="dxa"/>
          <w:end w:w="220" w:type="dxa"/>
        </w:tblCellMar>
      </w:tblPr>
      <w:tblGrid>
        <w:gridCol w:w="10040"/>
      </w:tblGrid>
      <w:tr>
        <w:trPr/>
        <w:tc>
          <w:tcPr>
            <w:tcW w:w="10040" w:type="dxa"/>
            <w:tcBorders/>
            <w:shd w:color="auto" w:fill="EAF0F8" w:val="clear"/>
          </w:tcPr>
          <w:p>
            <w:pPr>
              <w:pStyle w:val="Normal"/>
              <w:spacing w:before="0" w:after="20"/>
              <w:rPr/>
            </w:pPr>
            <w:r>
              <w:rPr>
                <w:rFonts w:eastAsia="Courier New" w:cs="Courier New" w:ascii="Courier New" w:hAnsi="Courier New"/>
                <w:color w:val="17304F"/>
                <w:sz w:val="19"/>
                <w:szCs w:val="19"/>
              </w:rPr>
              <w:t>{</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"patient": {</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"name": "John Doe",</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"dob": "1940-03-19",</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"ssn": "234-23-525",</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"address": "California",</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"phone": "8770586755",</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"email": "johndoe@gmail.com"</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"doctor": "thomas collins",</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"hospital_id": "grandoaks",</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"hospital": "not a real hospital",</w:t>
            </w:r>
          </w:p>
          <w:p>
            <w:pPr>
              <w:pStyle w:val="Normal"/>
              <w:spacing w:before="0" w:after="20"/>
              <w:rPr/>
            </w:pPr>
            <w:r>
              <w:rPr>
                <w:rFonts w:eastAsia="Courier New" w:cs="Courier New" w:ascii="Courier New" w:hAnsi="Courier New"/>
                <w:color w:val="17304F"/>
                <w:sz w:val="19"/>
                <w:szCs w:val="19"/>
              </w:rPr>
              <w:t xml:space="preserve">  </w:t>
            </w:r>
            <w:r>
              <w:rPr>
                <w:rFonts w:eastAsia="Courier New" w:cs="Courier New" w:ascii="Courier New" w:hAnsi="Courier New"/>
                <w:color w:val="17304F"/>
                <w:sz w:val="19"/>
                <w:szCs w:val="19"/>
              </w:rPr>
              <w:t>"appointment_date": "2025-04-02"</w:t>
            </w:r>
          </w:p>
          <w:p>
            <w:pPr>
              <w:pStyle w:val="Normal"/>
              <w:spacing w:before="0" w:after="20"/>
              <w:rPr/>
            </w:pPr>
            <w:r>
              <w:rPr>
                <w:rFonts w:eastAsia="Courier New" w:cs="Courier New" w:ascii="Courier New" w:hAnsi="Courier New"/>
                <w:color w:val="17304F"/>
                <w:sz w:val="19"/>
                <w:szCs w:val="19"/>
              </w:rPr>
              <w:t>}</w:t>
            </w:r>
          </w:p>
        </w:tc>
      </w:tr>
    </w:tbl>
    <w:p>
      <w:pPr>
        <w:pStyle w:val="Normal"/>
        <w:spacing w:before="0" w:after="140"/>
        <w:rPr/>
      </w:pPr>
      <w:r>
        <w:rPr/>
      </w:r>
    </w:p>
    <w:tbl>
      <w:tblPr>
        <w:tblW w:w="5000" w:type="pct"/>
        <w:jc w:val="start"/>
        <w:tblInd w:w="0" w:type="dxa"/>
        <w:tblLayout w:type="fixed"/>
        <w:tblCellMar>
          <w:top w:w="180" w:type="dxa"/>
          <w:start w:w="240" w:type="dxa"/>
          <w:bottom w:w="180" w:type="dxa"/>
          <w:end w:w="240" w:type="dxa"/>
        </w:tblCellMar>
      </w:tblPr>
      <w:tblGrid>
        <w:gridCol w:w="10040"/>
      </w:tblGrid>
      <w:tr>
        <w:trPr/>
        <w:tc>
          <w:tcPr>
            <w:tcW w:w="10040" w:type="dxa"/>
            <w:tcBorders>
              <w:start w:val="single" w:sz="24" w:space="0" w:color="1C2B46"/>
            </w:tcBorders>
            <w:shd w:color="auto" w:fill="F3F3F1" w:val="clear"/>
          </w:tcPr>
          <w:p>
            <w:pPr>
              <w:pStyle w:val="Normal"/>
              <w:spacing w:before="0" w:after="80"/>
              <w:rPr/>
            </w:pPr>
            <w:r>
              <w:rPr>
                <w:b/>
                <w:bCs/>
                <w:color w:val="1C2B46"/>
                <w:sz w:val="22"/>
                <w:szCs w:val="22"/>
              </w:rPr>
              <w:t>This is the one case where an exact payload match is safe</w:t>
            </w:r>
          </w:p>
          <w:p>
            <w:pPr>
              <w:pStyle w:val="Normal"/>
              <w:rPr/>
            </w:pPr>
            <w:r>
              <w:rPr>
                <w:color w:val="333333"/>
                <w:sz w:val="21"/>
                <w:szCs w:val="21"/>
              </w:rPr>
              <w:t>Every success-case assertion above uses AssertNotNull instead of an exact match, because the real backend's appointmentNumber auto-increments on every run. This case is different: since no backend call happens at all, the response is always exactly the input payload, byte for byte, no matter how many times the suite runs. Use AssertEquals on Payload here with the exact input shown above as the Expected Value — it's the one assertion in this suite that can be fully precise.</w:t>
            </w:r>
          </w:p>
        </w:tc>
      </w:tr>
    </w:tbl>
    <w:p>
      <w:pPr>
        <w:pStyle w:val="Normal"/>
        <w:spacing w:before="0" w:after="160"/>
        <w:rPr/>
      </w:pPr>
      <w:r>
        <w:rPr/>
      </w:r>
    </w:p>
    <w:tbl>
      <w:tblPr>
        <w:tblW w:w="5000" w:type="pct"/>
        <w:jc w:val="start"/>
        <w:tblInd w:w="0" w:type="dxa"/>
        <w:tblLayout w:type="fixed"/>
        <w:tblCellMar>
          <w:top w:w="100" w:type="dxa"/>
          <w:start w:w="140" w:type="dxa"/>
          <w:bottom w:w="100" w:type="dxa"/>
          <w:end w:w="140" w:type="dxa"/>
        </w:tblCellMar>
      </w:tblPr>
      <w:tblGrid>
        <w:gridCol w:w="2776"/>
        <w:gridCol w:w="7264"/>
      </w:tblGrid>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Assertion 1</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Status Code = 200 (AssertEquals)</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Error Message</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Expected HTTP 200 even for an invalid hospital value</w:t>
            </w:r>
          </w:p>
        </w:tc>
      </w:tr>
      <w:tr>
        <w:trPr/>
        <w:tc>
          <w:tcPr>
            <w:tcW w:w="2776"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b/>
                <w:bCs/>
                <w:color w:val="222222"/>
                <w:sz w:val="22"/>
                <w:szCs w:val="22"/>
              </w:rPr>
              <w:t>Assertion 2</w:t>
            </w:r>
          </w:p>
        </w:tc>
        <w:tc>
          <w:tcPr>
            <w:tcW w:w="7264" w:type="dxa"/>
            <w:tcBorders>
              <w:top w:val="single" w:sz="4" w:space="0" w:color="000000"/>
              <w:start w:val="single" w:sz="4" w:space="0" w:color="000000"/>
              <w:bottom w:val="single" w:sz="4" w:space="0" w:color="000000"/>
              <w:end w:val="single" w:sz="4" w:space="0" w:color="000000"/>
            </w:tcBorders>
            <w:shd w:color="auto" w:fill="F3F3F1" w:val="clear"/>
            <w:vAlign w:val="center"/>
          </w:tcPr>
          <w:p>
            <w:pPr>
              <w:pStyle w:val="Normal"/>
              <w:rPr/>
            </w:pPr>
            <w:r>
              <w:rPr>
                <w:color w:val="222222"/>
                <w:sz w:val="22"/>
                <w:szCs w:val="22"/>
              </w:rPr>
              <w:t>Payload equals the input payload shown above, exactly (AssertEquals)</w:t>
            </w:r>
          </w:p>
        </w:tc>
      </w:tr>
      <w:tr>
        <w:trPr/>
        <w:tc>
          <w:tcPr>
            <w:tcW w:w="2776"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b/>
                <w:bCs/>
                <w:color w:val="222222"/>
                <w:sz w:val="22"/>
                <w:szCs w:val="22"/>
              </w:rPr>
              <w:t>Error Message</w:t>
            </w:r>
          </w:p>
        </w:tc>
        <w:tc>
          <w:tcPr>
            <w:tcW w:w="7264"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color w:val="222222"/>
                <w:sz w:val="22"/>
                <w:szCs w:val="22"/>
              </w:rPr>
              <w:t>Response did not match the original request — the default branch may have reached a backend unexpectedly</w:t>
            </w:r>
          </w:p>
        </w:tc>
      </w:tr>
    </w:tbl>
    <w:p>
      <w:pPr>
        <w:pStyle w:val="Heading1"/>
        <w:spacing w:before="360" w:after="160"/>
        <w:rPr/>
      </w:pPr>
      <w:r>
        <w:rPr>
          <w:b/>
          <w:bCs/>
          <w:color w:val="1C2B46"/>
          <w:sz w:val="32"/>
          <w:szCs w:val="32"/>
        </w:rPr>
        <w:t>Running the Suite</w:t>
      </w:r>
    </w:p>
    <w:p>
      <w:pPr>
        <w:pStyle w:val="Heading2"/>
        <w:spacing w:before="280" w:after="120"/>
        <w:rPr/>
      </w:pPr>
      <w:r>
        <w:rPr>
          <w:b/>
          <w:bCs/>
          <w:color w:val="1C2B46"/>
          <w:sz w:val="26"/>
          <w:szCs w:val="26"/>
        </w:rPr>
        <w:t>From VS Code</w:t>
      </w:r>
    </w:p>
    <w:p>
      <w:pPr>
        <w:pStyle w:val="ListParagraph"/>
        <w:numPr>
          <w:ilvl w:val="0"/>
          <w:numId w:val="1"/>
        </w:numPr>
        <w:spacing w:before="0" w:after="80"/>
        <w:rPr/>
      </w:pPr>
      <w:r>
        <w:rPr>
          <w:color w:val="222222"/>
          <w:sz w:val="22"/>
          <w:szCs w:val="22"/>
        </w:rPr>
        <w:t>Open the Testing panel, find HealthcareAPIRoutingTestSuite in the Test Explorer, and click the Run icon.</w:t>
      </w:r>
    </w:p>
    <w:p>
      <w:pPr>
        <w:pStyle w:val="ListParagraph"/>
        <w:numPr>
          <w:ilvl w:val="0"/>
          <w:numId w:val="1"/>
        </w:numPr>
        <w:spacing w:before="0" w:after="80"/>
        <w:rPr/>
      </w:pPr>
      <w:r>
        <w:rPr>
          <w:color w:val="222222"/>
          <w:sz w:val="22"/>
          <w:szCs w:val="22"/>
        </w:rPr>
        <w:t>Make sure Hospital Service is already running on port 9090 before clicking Run — none of these four cases have a mock to fall back on.</w:t>
      </w:r>
    </w:p>
    <w:p>
      <w:pPr>
        <w:pStyle w:val="Heading2"/>
        <w:spacing w:before="280" w:after="120"/>
        <w:rPr/>
      </w:pPr>
      <w:r>
        <w:rPr>
          <w:b/>
          <w:bCs/>
          <w:color w:val="1C2B46"/>
          <w:sz w:val="26"/>
          <w:szCs w:val="26"/>
        </w:rPr>
        <w:t>From the Command Line (CI-Friendly)</w:t>
      </w:r>
    </w:p>
    <w:tbl>
      <w:tblPr>
        <w:tblW w:w="5000" w:type="pct"/>
        <w:jc w:val="start"/>
        <w:tblInd w:w="0" w:type="dxa"/>
        <w:tblLayout w:type="fixed"/>
        <w:tblCellMar>
          <w:top w:w="160" w:type="dxa"/>
          <w:start w:w="220" w:type="dxa"/>
          <w:bottom w:w="160" w:type="dxa"/>
          <w:end w:w="220" w:type="dxa"/>
        </w:tblCellMar>
      </w:tblPr>
      <w:tblGrid>
        <w:gridCol w:w="10040"/>
      </w:tblGrid>
      <w:tr>
        <w:trPr/>
        <w:tc>
          <w:tcPr>
            <w:tcW w:w="10040" w:type="dxa"/>
            <w:tcBorders/>
            <w:shd w:color="auto" w:fill="1C2B46" w:val="clear"/>
          </w:tcPr>
          <w:p>
            <w:pPr>
              <w:pStyle w:val="Normal"/>
              <w:spacing w:before="0" w:after="20"/>
              <w:rPr/>
            </w:pPr>
            <w:r>
              <w:rPr>
                <w:rFonts w:eastAsia="Courier New" w:cs="Courier New" w:ascii="Courier New" w:hAnsi="Courier New"/>
                <w:color w:val="FFFFFF"/>
                <w:sz w:val="19"/>
                <w:szCs w:val="19"/>
              </w:rPr>
              <w:t># Terminal 1: Hospital Service (the real backend all four cases call)</w:t>
            </w:r>
          </w:p>
          <w:p>
            <w:pPr>
              <w:pStyle w:val="Normal"/>
              <w:spacing w:before="0" w:after="20"/>
              <w:rPr/>
            </w:pPr>
            <w:r>
              <w:rPr>
                <w:rFonts w:eastAsia="Courier New" w:cs="Courier New" w:ascii="Courier New" w:hAnsi="Courier New"/>
                <w:color w:val="FFFFFF"/>
                <w:sz w:val="19"/>
                <w:szCs w:val="19"/>
              </w:rPr>
              <w:t>java -jar Hospital-Service-JDK11-2.0.0.jar</w:t>
            </w:r>
          </w:p>
          <w:p>
            <w:pPr>
              <w:pStyle w:val="Normal"/>
              <w:spacing w:before="0" w:after="20"/>
              <w:rPr/>
            </w:pPr>
            <w:r>
              <w:rPr>
                <w:rFonts w:eastAsia="Courier New" w:cs="Courier New" w:ascii="Courier New" w:hAnsi="Courier New"/>
                <w:color w:val="FFFFFF"/>
                <w:sz w:val="19"/>
                <w:szCs w:val="19"/>
              </w:rPr>
              <w:t xml:space="preserve"> </w:t>
            </w:r>
          </w:p>
          <w:p>
            <w:pPr>
              <w:pStyle w:val="Normal"/>
              <w:spacing w:before="0" w:after="20"/>
              <w:rPr/>
            </w:pPr>
            <w:r>
              <w:rPr>
                <w:rFonts w:eastAsia="Courier New" w:cs="Courier New" w:ascii="Courier New" w:hAnsi="Courier New"/>
                <w:color w:val="FFFFFF"/>
                <w:sz w:val="19"/>
                <w:szCs w:val="19"/>
              </w:rPr>
              <w:t># Terminal 2: a clean MI instance in unit-testing mode</w:t>
            </w:r>
          </w:p>
          <w:p>
            <w:pPr>
              <w:pStyle w:val="Normal"/>
              <w:spacing w:before="0" w:after="20"/>
              <w:rPr/>
            </w:pPr>
            <w:r>
              <w:rPr>
                <w:rFonts w:eastAsia="Courier New" w:cs="Courier New" w:ascii="Courier New" w:hAnsi="Courier New"/>
                <w:color w:val="FFFFFF"/>
                <w:sz w:val="19"/>
                <w:szCs w:val="19"/>
              </w:rPr>
              <w:t>sh micro-integrator.sh -DsynapseTest</w:t>
            </w:r>
          </w:p>
          <w:p>
            <w:pPr>
              <w:pStyle w:val="Normal"/>
              <w:spacing w:before="0" w:after="20"/>
              <w:rPr/>
            </w:pPr>
            <w:r>
              <w:rPr>
                <w:rFonts w:eastAsia="Courier New" w:cs="Courier New" w:ascii="Courier New" w:hAnsi="Courier New"/>
                <w:color w:val="FFFFFF"/>
                <w:sz w:val="19"/>
                <w:szCs w:val="19"/>
              </w:rPr>
              <w:t xml:space="preserve"> </w:t>
            </w:r>
          </w:p>
          <w:p>
            <w:pPr>
              <w:pStyle w:val="Normal"/>
              <w:spacing w:before="0" w:after="20"/>
              <w:rPr/>
            </w:pPr>
            <w:r>
              <w:rPr>
                <w:rFonts w:eastAsia="Courier New" w:cs="Courier New" w:ascii="Courier New" w:hAnsi="Courier New"/>
                <w:color w:val="FFFFFF"/>
                <w:sz w:val="19"/>
                <w:szCs w:val="19"/>
              </w:rPr>
              <w:t># Terminal 3: from the ContentBasedRouteTutorial project directory</w:t>
            </w:r>
          </w:p>
          <w:p>
            <w:pPr>
              <w:pStyle w:val="Normal"/>
              <w:spacing w:before="0" w:after="20"/>
              <w:rPr/>
            </w:pPr>
            <w:r>
              <w:rPr>
                <w:rFonts w:eastAsia="Courier New" w:cs="Courier New" w:ascii="Courier New" w:hAnsi="Courier New"/>
                <w:color w:val="FFFFFF"/>
                <w:sz w:val="19"/>
                <w:szCs w:val="19"/>
              </w:rPr>
              <w:t># Build normally ONCE first, with tests skipped — this is what</w:t>
            </w:r>
          </w:p>
          <w:p>
            <w:pPr>
              <w:pStyle w:val="Normal"/>
              <w:spacing w:before="0" w:after="20"/>
              <w:rPr/>
            </w:pPr>
            <w:r>
              <w:rPr>
                <w:rFonts w:eastAsia="Courier New" w:cs="Courier New" w:ascii="Courier New" w:hAnsi="Courier New"/>
                <w:color w:val="FFFFFF"/>
                <w:sz w:val="19"/>
                <w:szCs w:val="19"/>
              </w:rPr>
              <w:t># creates target/dependency/mi-connector-http-0.1.14.zip, which the</w:t>
            </w:r>
          </w:p>
          <w:p>
            <w:pPr>
              <w:pStyle w:val="Normal"/>
              <w:spacing w:before="0" w:after="20"/>
              <w:rPr/>
            </w:pPr>
            <w:r>
              <w:rPr>
                <w:rFonts w:eastAsia="Courier New" w:cs="Courier New" w:ascii="Courier New" w:hAnsi="Courier New"/>
                <w:color w:val="FFFFFF"/>
                <w:sz w:val="19"/>
                <w:szCs w:val="19"/>
              </w:rPr>
              <w:t># connector-resource entry in the test suite XML depends on.</w:t>
            </w:r>
          </w:p>
          <w:p>
            <w:pPr>
              <w:pStyle w:val="Normal"/>
              <w:spacing w:before="0" w:after="20"/>
              <w:rPr/>
            </w:pPr>
            <w:r>
              <w:rPr>
                <w:rFonts w:eastAsia="Courier New" w:cs="Courier New" w:ascii="Courier New" w:hAnsi="Courier New"/>
                <w:color w:val="FFFFFF"/>
                <w:sz w:val="19"/>
                <w:szCs w:val="19"/>
              </w:rPr>
              <w:t># -Dmaven.test.skip=true is required here: a plain "mvn clean install"</w:t>
            </w:r>
          </w:p>
          <w:p>
            <w:pPr>
              <w:pStyle w:val="Normal"/>
              <w:spacing w:before="0" w:after="20"/>
              <w:rPr/>
            </w:pPr>
            <w:r>
              <w:rPr>
                <w:rFonts w:eastAsia="Courier New" w:cs="Courier New" w:ascii="Courier New" w:hAnsi="Courier New"/>
                <w:color w:val="FFFFFF"/>
                <w:sz w:val="19"/>
                <w:szCs w:val="19"/>
              </w:rPr>
              <w:t># auto-runs the test phase in local mode and starts its own MI instance,</w:t>
            </w:r>
          </w:p>
          <w:p>
            <w:pPr>
              <w:pStyle w:val="Normal"/>
              <w:spacing w:before="0" w:after="20"/>
              <w:rPr/>
            </w:pPr>
            <w:r>
              <w:rPr>
                <w:rFonts w:eastAsia="Courier New" w:cs="Courier New" w:ascii="Courier New" w:hAnsi="Courier New"/>
                <w:color w:val="FFFFFF"/>
                <w:sz w:val="19"/>
                <w:szCs w:val="19"/>
              </w:rPr>
              <w:t># which collides with (and can kill) the one started in Terminal 2.</w:t>
            </w:r>
          </w:p>
          <w:p>
            <w:pPr>
              <w:pStyle w:val="Normal"/>
              <w:spacing w:before="0" w:after="20"/>
              <w:rPr/>
            </w:pPr>
            <w:r>
              <w:rPr>
                <w:rFonts w:eastAsia="Courier New" w:cs="Courier New" w:ascii="Courier New" w:hAnsi="Courier New"/>
                <w:color w:val="FFFFFF"/>
                <w:sz w:val="19"/>
                <w:szCs w:val="19"/>
              </w:rPr>
              <w:t>mvn clean install -Dmaven.test.skip=true</w:t>
            </w:r>
          </w:p>
          <w:p>
            <w:pPr>
              <w:pStyle w:val="Normal"/>
              <w:spacing w:before="0" w:after="20"/>
              <w:rPr/>
            </w:pPr>
            <w:r>
              <w:rPr>
                <w:rFonts w:eastAsia="Courier New" w:cs="Courier New" w:ascii="Courier New" w:hAnsi="Courier New"/>
                <w:color w:val="FFFFFF"/>
                <w:sz w:val="19"/>
                <w:szCs w:val="19"/>
              </w:rPr>
              <w:t xml:space="preserve"> </w:t>
            </w:r>
          </w:p>
          <w:p>
            <w:pPr>
              <w:pStyle w:val="Normal"/>
              <w:spacing w:before="0" w:after="20"/>
              <w:rPr/>
            </w:pPr>
            <w:r>
              <w:rPr>
                <w:rFonts w:eastAsia="Courier New" w:cs="Courier New" w:ascii="Courier New" w:hAnsi="Courier New"/>
                <w:color w:val="FFFFFF"/>
                <w:sz w:val="19"/>
                <w:szCs w:val="19"/>
              </w:rPr>
              <w:t># Then run the tests WITHOUT "clean", so that zip survives:</w:t>
            </w:r>
          </w:p>
          <w:p>
            <w:pPr>
              <w:pStyle w:val="Normal"/>
              <w:spacing w:before="0" w:after="20"/>
              <w:rPr/>
            </w:pPr>
            <w:r>
              <w:rPr>
                <w:rFonts w:eastAsia="Courier New" w:cs="Courier New" w:ascii="Courier New" w:hAnsi="Courier New"/>
                <w:color w:val="FFFFFF"/>
                <w:sz w:val="19"/>
                <w:szCs w:val="19"/>
              </w:rPr>
              <w:t>mvn install -DtestServerType=remote \</w:t>
            </w:r>
          </w:p>
          <w:p>
            <w:pPr>
              <w:pStyle w:val="Normal"/>
              <w:spacing w:before="0" w:after="20"/>
              <w:rPr/>
            </w:pPr>
            <w:r>
              <w:rPr>
                <w:rFonts w:eastAsia="Courier New" w:cs="Courier New" w:ascii="Courier New" w:hAnsi="Courier New"/>
                <w:color w:val="FFFFFF"/>
                <w:sz w:val="19"/>
                <w:szCs w:val="19"/>
              </w:rPr>
              <w:t xml:space="preserve">  </w:t>
            </w:r>
            <w:r>
              <w:rPr>
                <w:rFonts w:eastAsia="Courier New" w:cs="Courier New" w:ascii="Courier New" w:hAnsi="Courier New"/>
                <w:color w:val="FFFFFF"/>
                <w:sz w:val="19"/>
                <w:szCs w:val="19"/>
              </w:rPr>
              <w:t>-DtestServerHost=localhost -DtestServerPort=9008 -P test</w:t>
            </w:r>
          </w:p>
        </w:tc>
      </w:tr>
    </w:tbl>
    <w:p>
      <w:pPr>
        <w:pStyle w:val="Heading1"/>
        <w:spacing w:before="360" w:after="160"/>
        <w:rPr/>
      </w:pPr>
      <w:r>
        <w:rPr>
          <w:b/>
          <w:bCs/>
          <w:color w:val="1C2B46"/>
          <w:sz w:val="32"/>
          <w:szCs w:val="32"/>
        </w:rPr>
        <w:t>Summary Checklist</w:t>
      </w:r>
    </w:p>
    <w:p>
      <w:pPr>
        <w:pStyle w:val="ListParagraph"/>
        <w:numPr>
          <w:ilvl w:val="0"/>
          <w:numId w:val="1"/>
        </w:numPr>
        <w:spacing w:before="0" w:after="80"/>
        <w:rPr/>
      </w:pPr>
      <w:r>
        <w:rPr>
          <w:color w:val="222222"/>
          <w:sz w:val="22"/>
          <w:szCs w:val="22"/>
        </w:rPr>
        <w:t>The test suite's supportive-artifacts and connector-resources must be filled in manually — the wizard leaves them empty, and HealthcareAPI will not deploy without them.</w:t>
      </w:r>
    </w:p>
    <w:p>
      <w:pPr>
        <w:pStyle w:val="ListParagraph"/>
        <w:numPr>
          <w:ilvl w:val="0"/>
          <w:numId w:val="1"/>
        </w:numPr>
        <w:spacing w:before="0" w:after="80"/>
        <w:rPr/>
      </w:pPr>
      <w:r>
        <w:rPr>
          <w:color w:val="222222"/>
          <w:sz w:val="22"/>
          <w:szCs w:val="22"/>
        </w:rPr>
        <w:t>Hospital Service running on port 9090 before every run — no mock is configured for any of the four cases, by design.</w:t>
      </w:r>
    </w:p>
    <w:p>
      <w:pPr>
        <w:pStyle w:val="ListParagraph"/>
        <w:numPr>
          <w:ilvl w:val="0"/>
          <w:numId w:val="1"/>
        </w:numPr>
        <w:spacing w:before="0" w:after="80"/>
        <w:rPr/>
      </w:pPr>
      <w:r>
        <w:rPr>
          <w:color w:val="222222"/>
          <w:sz w:val="22"/>
          <w:szCs w:val="22"/>
        </w:rPr>
        <w:t>One test suite, artifact type API, targeting HealthcareAPI — four test cases, one per switch branch.</w:t>
      </w:r>
    </w:p>
    <w:p>
      <w:pPr>
        <w:pStyle w:val="ListParagraph"/>
        <w:numPr>
          <w:ilvl w:val="0"/>
          <w:numId w:val="1"/>
        </w:numPr>
        <w:spacing w:before="0" w:after="80"/>
        <w:rPr/>
      </w:pPr>
      <w:r>
        <w:rPr>
          <w:color w:val="222222"/>
          <w:sz w:val="22"/>
          <w:szCs w:val="22"/>
        </w:rPr>
        <w:t>Three success cases (GrandOak / Clemency / PineValley): Status Code 200 + AssertNotNull on Payload — not an exact match, since appointmentNumber changes every run.</w:t>
      </w:r>
    </w:p>
    <w:p>
      <w:pPr>
        <w:pStyle w:val="ListParagraph"/>
        <w:numPr>
          <w:ilvl w:val="0"/>
          <w:numId w:val="1"/>
        </w:numPr>
        <w:spacing w:before="0" w:after="80"/>
        <w:rPr/>
      </w:pPr>
      <w:r>
        <w:rPr>
          <w:color w:val="222222"/>
          <w:sz w:val="22"/>
          <w:szCs w:val="22"/>
        </w:rPr>
        <w:t>One negative case (InvalidHospital): the only case where an exact AssertEquals on Payload is safe, since no backend call happens and the response is always the untouched input.</w:t>
      </w:r>
    </w:p>
    <w:p>
      <w:pPr>
        <w:pStyle w:val="ListParagraph"/>
        <w:numPr>
          <w:ilvl w:val="0"/>
          <w:numId w:val="0"/>
        </w:numPr>
        <w:spacing w:before="0" w:after="80"/>
        <w:ind w:hanging="0" w:start="720"/>
        <w:rPr>
          <w:color w:val="222222"/>
          <w:sz w:val="22"/>
          <w:szCs w:val="22"/>
        </w:rPr>
      </w:pPr>
      <w:r>
        <w:rPr/>
      </w:r>
    </w:p>
    <w:sectPr>
      <w:type w:val="nextPage"/>
      <w:pgSz w:w="12240" w:h="15840"/>
      <w:pgMar w:left="1100" w:right="11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LibreOffice/26.8.0.3$MacOSX_AARCH64 LibreOffice_project/bce0998afefdbc355585ca324285661a2170ba77</Application>
  <AppVersion>15.0000</AppVersion>
  <Pages>6</Pages>
  <Words>1301</Words>
  <Characters>7613</Characters>
  <CharactersWithSpaces>8898</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2026-10-13T19:13:38Z</dcterms:created>
  <dc:creator>Un-named</dc:creator>
  <dc:description/>
  <dc:language>en-US</dc:language>
  <cp:lastModifiedBy/>
  <dcterms:modified xsi:type="dcterms:W3CDTF">2026-10-14T00:57:41Z</dcterms:modified>
  <cp:revision>2</cp:revision>
  <dc:subject/>
  <dc:title/>
</cp:coreProperties>
</file>