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SiteGuard AI — Submission Materials</w:t>
      </w:r>
    </w:p>
    <w:p>
      <w:pPr/>
      <w:r>
        <w:t xml:space="preserve">Oct 15, 2026</w:t>
      </w:r>
      <w:r>
        <w:t xml:space="preserve"> · </w:t>
      </w:r>
      <w:r>
        <w:t xml:space="preserve">@Ashen Weerasinghe</w:t>
      </w:r>
    </w:p>
    <w:p>
      <w:pPr>
        <w:pStyle w:val="Heading2"/>
      </w:pPr>
      <w:r>
        <w:t xml:space="preserve">Demo Video Script (~3 minutes)</w:t>
      </w:r>
    </w:p>
    <w:p>
      <w:pPr/>
      <w:r>
        <w:t xml:space="preserve">A 7-beat shot list timed to land under 3 minutes with room to breathe.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Shot</w:t>
            </w:r>
          </w:p>
        </w:tc>
        <w:tc>
          <w:tcPr>
            <w:tcW w:w="3120" w:type="dxa"/>
            <w:shd w:val="clear" w:color="auto" w:fill="F2F2F2"/>
          </w:tcPr>
          <w:p>
            <w:pPr/>
            <w:r>
              <w:t xml:space="preserve">Say</w:t>
            </w:r>
          </w:p>
        </w:tc>
      </w:tr>
      <w:tr>
        <w:tc>
          <w:tcPr>
            <w:tcW w:w="3120" w:type="dxa"/>
          </w:tcPr>
          <w:p>
            <w:pPr/>
            <w:r>
              <w:t xml:space="preserve">0:00–0:15</w:t>
            </w:r>
          </w:p>
        </w:tc>
        <w:tc>
          <w:tcPr>
            <w:tcW w:w="3120" w:type="dxa"/>
          </w:tcPr>
          <w:p>
            <w:pPr/>
            <w:r>
              <w:t xml:space="preserve">Black screen, one stat on screen: “39% of U.S. construction deaths are falls.”</w:t>
            </w:r>
          </w:p>
        </w:tc>
        <w:tc>
          <w:tcPr>
            <w:tcW w:w="3120" w:type="dxa"/>
          </w:tcPr>
          <w:p>
            <w:pPr/>
            <w:r>
              <w:t xml:space="preserve">“Every year, falls alone kill more construction workers than any other hazard — and most are still caught on paper, if they’re caught at all.”</w:t>
            </w:r>
          </w:p>
        </w:tc>
      </w:tr>
      <w:tr>
        <w:tc>
          <w:tcPr>
            <w:tcW w:w="3120" w:type="dxa"/>
          </w:tcPr>
          <w:p>
            <w:pPr/>
            <w:r>
              <w:t xml:space="preserve">0:15–0:30</w:t>
            </w:r>
          </w:p>
        </w:tc>
        <w:tc>
          <w:tcPr>
            <w:tcW w:w="3120" w:type="dxa"/>
          </w:tcPr>
          <w:p>
            <w:pPr/>
            <w:r>
              <w:t xml:space="preserve">Cut to the SiteGuard AI cover screen</w:t>
            </w:r>
          </w:p>
        </w:tc>
        <w:tc>
          <w:tcPr>
            <w:tcW w:w="3120" w:type="dxa"/>
          </w:tcPr>
          <w:p>
            <w:pPr/>
            <w:r>
              <w:t xml:space="preserve">“This is SiteGuard AI. Point a phone at a hazard, and Gemini proposes the finding. A human approves every decision.”</w:t>
            </w:r>
          </w:p>
        </w:tc>
      </w:tr>
      <w:tr>
        <w:tc>
          <w:tcPr>
            <w:tcW w:w="3120" w:type="dxa"/>
          </w:tcPr>
          <w:p>
            <w:pPr/>
            <w:r>
              <w:t xml:space="preserve">0:30–1:15</w:t>
            </w:r>
          </w:p>
        </w:tc>
        <w:tc>
          <w:tcPr>
            <w:tcW w:w="3120" w:type="dxa"/>
          </w:tcPr>
          <w:p>
            <w:pPr/>
            <w:r>
              <w:t xml:space="preserve">Screen recording: Capture screen — upload a photo, fill in site / date / activity, click Analyze</w:t>
            </w:r>
          </w:p>
        </w:tc>
        <w:tc>
          <w:tcPr>
            <w:tcW w:w="3120" w:type="dxa"/>
          </w:tcPr>
          <w:p>
            <w:pPr/>
            <w:r>
              <w:t xml:space="preserve">“Upload a site photo and a voice note. Gemini reads both together and returns a structured finding — scenario, confidence, suggested risk — never a verdict, only evidence.”</w:t>
            </w:r>
          </w:p>
        </w:tc>
      </w:tr>
      <w:tr>
        <w:tc>
          <w:tcPr>
            <w:tcW w:w="3120" w:type="dxa"/>
          </w:tcPr>
          <w:p>
            <w:pPr/>
            <w:r>
              <w:t xml:space="preserve">1:15–1:35</w:t>
            </w:r>
          </w:p>
        </w:tc>
        <w:tc>
          <w:tcPr>
            <w:tcW w:w="3120" w:type="dxa"/>
          </w:tcPr>
          <w:p>
            <w:pPr/>
            <w:r>
              <w:t xml:space="preserve">Click Confirm; show the saved hazard</w:t>
            </w:r>
          </w:p>
        </w:tc>
        <w:tc>
          <w:tcPr>
            <w:tcW w:w="3120" w:type="dxa"/>
          </w:tcPr>
          <w:p>
            <w:pPr/>
            <w:r>
              <w:t xml:space="preserve">“A reviewer confirms, rejects, or edits it. Nothing is logged until a human says so.”</w:t>
            </w:r>
          </w:p>
        </w:tc>
      </w:tr>
      <w:tr>
        <w:tc>
          <w:tcPr>
            <w:tcW w:w="3120" w:type="dxa"/>
          </w:tcPr>
          <w:p>
            <w:pPr/>
            <w:r>
              <w:t xml:space="preserve">1:35–2:05</w:t>
            </w:r>
          </w:p>
        </w:tc>
        <w:tc>
          <w:tcPr>
            <w:tcW w:w="3120" w:type="dxa"/>
          </w:tcPr>
          <w:p>
            <w:pPr/>
            <w:r>
              <w:t xml:space="preserve">Hazard Register: card grid, filter by status, open one card, scroll its history</w:t>
            </w:r>
          </w:p>
        </w:tc>
        <w:tc>
          <w:tcPr>
            <w:tcW w:w="3120" w:type="dxa"/>
          </w:tcPr>
          <w:p>
            <w:pPr/>
            <w:r>
              <w:t xml:space="preserve">“Every hazard lands in the register — color-coded, filterable, with a full append-only history: flagged, confirmed, assigned, all timestamped.”</w:t>
            </w:r>
          </w:p>
        </w:tc>
      </w:tr>
      <w:tr>
        <w:tc>
          <w:tcPr>
            <w:tcW w:w="3120" w:type="dxa"/>
          </w:tcPr>
          <w:p>
            <w:pPr/>
            <w:r>
              <w:t xml:space="preserve">2:05–2:40</w:t>
            </w:r>
          </w:p>
        </w:tc>
        <w:tc>
          <w:tcPr>
            <w:tcW w:w="3120" w:type="dxa"/>
          </w:tcPr>
          <w:p>
            <w:pPr/>
            <w:r>
              <w:t xml:space="preserve">Follow-up screen: pick an open hazard, upload new evidence, click Analyze Follow-up, show the closure recommendation</w:t>
            </w:r>
          </w:p>
        </w:tc>
        <w:tc>
          <w:tcPr>
            <w:tcW w:w="3120" w:type="dxa"/>
          </w:tcPr>
          <w:p>
            <w:pPr/>
            <w:r>
              <w:t xml:space="preserve">“On a later visit, upload new evidence. Gemini compares it to the original finding and recommends — never decides — whether to close it.”</w:t>
            </w:r>
          </w:p>
        </w:tc>
      </w:tr>
      <w:tr>
        <w:tc>
          <w:tcPr>
            <w:tcW w:w="3120" w:type="dxa"/>
          </w:tcPr>
          <w:p>
            <w:pPr/>
            <w:r>
              <w:t xml:space="preserve">2:40–2:55</w:t>
            </w:r>
          </w:p>
        </w:tc>
        <w:tc>
          <w:tcPr>
            <w:tcW w:w="3120" w:type="dxa"/>
          </w:tcPr>
          <w:p>
            <w:pPr/>
            <w:r>
              <w:t xml:space="preserve">Click Approve closure; card turns to Closed</w:t>
            </w:r>
          </w:p>
        </w:tc>
        <w:tc>
          <w:tcPr>
            <w:tcW w:w="3120" w:type="dxa"/>
          </w:tcPr>
          <w:p>
            <w:pPr/>
            <w:r>
              <w:t xml:space="preserve">“The reviewer has the final word, every time.”</w:t>
            </w:r>
          </w:p>
        </w:tc>
      </w:tr>
      <w:tr>
        <w:tc>
          <w:tcPr>
            <w:tcW w:w="3120" w:type="dxa"/>
          </w:tcPr>
          <w:p>
            <w:pPr/>
            <w:r>
              <w:t xml:space="preserve">2:55–3:00</w:t>
            </w:r>
          </w:p>
        </w:tc>
        <w:tc>
          <w:tcPr>
            <w:tcW w:w="3120" w:type="dxa"/>
          </w:tcPr>
          <w:p>
            <w:pPr/>
            <w:r>
              <w:t xml:space="preserve">Closing card: live URL + GitHub link</w:t>
            </w:r>
          </w:p>
        </w:tc>
        <w:tc>
          <w:tcPr>
            <w:tcW w:w="3120" w:type="dxa"/>
          </w:tcPr>
          <w:p>
            <w:pPr/>
            <w:r>
              <w:t xml:space="preserve">“SiteGuard AI — live now. Link’s below.”</w:t>
            </w:r>
          </w:p>
        </w:tc>
      </w:tr>
    </w:tbl>
    <w:p>
      <w:pPr/>
      <w:r>
        <w:rPr>
          <w:b/>
        </w:rPr>
        <w:t xml:space="preserve">Recording notes</w:t>
      </w:r>
    </w:p>
    <w:p>
      <w:pPr>
        <w:pStyle w:val="ListParagraph"/>
        <w:numPr>
          <w:ilvl w:val="0"/>
          <w:numId w:val="2"/>
        </w:numPr>
      </w:pPr>
      <w:r>
        <w:t xml:space="preserve">Record directly off the deployed app at siteguard-ai-7hugymoxka-uc.a.run.app, not localhost — it’s the version judges will open.</w:t>
      </w:r>
    </w:p>
    <w:p>
      <w:pPr>
        <w:pStyle w:val="ListParagraph"/>
        <w:numPr>
          <w:ilvl w:val="0"/>
          <w:numId w:val="2"/>
        </w:numPr>
      </w:pPr>
      <w:r>
        <w:t xml:space="preserve">Keep narration pace brisk; 3 minutes is a hard cap most hackathons enforce.</w:t>
      </w:r>
    </w:p>
    <w:p>
      <w:pPr>
        <w:pStyle w:val="ListParagraph"/>
        <w:numPr>
          <w:ilvl w:val="0"/>
          <w:numId w:val="2"/>
        </w:numPr>
      </w:pPr>
      <w:r>
        <w:t xml:space="preserve">If a Gemini call runs slow on camera, cut away rather than let dead air run — the free-tier model occasionally queues under load.</w:t>
      </w:r>
    </w:p>
    <w:p>
      <w:pPr>
        <w:pStyle w:val="ListParagraph"/>
        <w:numPr>
          <w:ilvl w:val="0"/>
          <w:numId w:val="2"/>
        </w:numPr>
      </w:pPr>
      <w:r>
        <w:t xml:space="preserve">Upload to YouTube (unlisted is fine) or a public Google Drive link, per the submission requirement.</w:t>
      </w:r>
    </w:p>
    <w:p>
      <w:pPr>
        <w:pStyle w:val="Heading2"/>
      </w:pPr>
      <w:r>
        <w:t xml:space="preserve">Submission Write-Up</w:t>
      </w:r>
    </w:p>
    <w:p>
      <w:pPr/>
      <w:r>
        <w:rPr>
          <w:b/>
        </w:rPr>
        <w:t xml:space="preserve">Category:</w:t>
      </w:r>
      <w:r>
        <w:t xml:space="preserve"> Social Good</w:t>
      </w:r>
    </w:p>
    <w:p>
      <w:pPr/>
      <w:r>
        <w:rPr>
          <w:b/>
        </w:rPr>
        <w:t xml:space="preserve">Problem.</w:t>
      </w:r>
      <w:r>
        <w:t xml:space="preserve"> Falls and the rest of OSHA’s “Fatal Four” (struck-by, electrocution, caught-in/between) cause over 60% of U.S. construction worker deaths, yet most site inspections still run on paper: inconsistent between inspectors, with no traceable link from a flagged hazard to its fix, and no systematic way to verify a hazard was actually resolved on a later visit.</w:t>
      </w:r>
    </w:p>
    <w:p>
      <w:pPr/>
      <w:r>
        <w:rPr>
          <w:b/>
        </w:rPr>
        <w:t xml:space="preserve">Solution.</w:t>
      </w:r>
      <w:r>
        <w:t xml:space="preserve"> SiteGuard AI lets a safety reviewer photograph a hazard and record a voice note. Gemini analyzes both together in one multimodal call and proposes a structured finding — scenario, a calibrated confidence flag, a suggested risk score — but never confirms it; a human reviewer always does. Confirmed hazards enter a Firestore-backed register with a full append-only audit history. On a later visit, new evidence is compared against the original finding, and Gemini recommends — never decides — whether the hazard is closed.</w:t>
      </w:r>
    </w:p>
    <w:p>
      <w:pPr/>
      <w:r>
        <w:rPr>
          <w:b/>
        </w:rPr>
        <w:t xml:space="preserve">Brief description</w:t>
      </w:r>
      <w:r>
        <w:t xml:space="preserve"> </w:t>
      </w:r>
      <w:r>
        <w:rPr>
          <w:i/>
        </w:rPr>
        <w:t xml:space="preserve">(paste-ready for the submission form)</w:t>
      </w:r>
    </w:p>
    <w:p>
      <w:pPr/>
      <w:r>
        <w:t xml:space="preserve">SiteGuard AI turns a phone photo and a voice note into a structured construction-hazard finding. Gemini (gemini-3.5-flash) analyzes the evidence and proposes a scenario, a confidence flag, and a suggested risk score — but a human reviewer confirms, rejects, or edits every finding before it’s logged. Confirmed hazards enter a filterable Firestore register with a full append-only audit trail. On a later visit, new evidence is compared against the original finding, and Gemini recommends — never decides — whether the hazard is closed. Built entirely on Google Cloud (Gemini, Firestore, Cloud Storage, Cloud Run) and deployed live, SiteGuard AI keeps the AI proposing and the human approving, every step.</w:t>
      </w:r>
    </w:p>
    <w:p>
      <w:pPr/>
      <w:r>
        <w:rPr>
          <w:b/>
        </w:rPr>
        <w:t xml:space="preserve">Links</w:t>
      </w:r>
    </w:p>
    <w:p>
      <w:pPr>
        <w:pStyle w:val="ListParagraph"/>
        <w:numPr>
          <w:ilvl w:val="0"/>
          <w:numId w:val="3"/>
        </w:numPr>
      </w:pPr>
      <w:r>
        <w:t xml:space="preserve">Live app: siteguard-ai-7hugymoxka-uc.a.run.app</w:t>
      </w:r>
    </w:p>
    <w:p>
      <w:pPr>
        <w:pStyle w:val="ListParagraph"/>
        <w:numPr>
          <w:ilvl w:val="0"/>
          <w:numId w:val="3"/>
        </w:numPr>
      </w:pPr>
      <w:r>
        <w:t xml:space="preserve">GitHub: github.com/Ashenweerasinghe/siteguard-ai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SiteGuard AI — Submission Materials</dc:title>
  <dc:description>Claude Docs node/5694188a-3508@3 docx-w6</dc:description>
  <cp:revision>3</cp:revision>
</cp:coreProperties>
</file>