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SiteGuard AI — User Manual</w:t>
      </w:r>
    </w:p>
    <w:p>
      <w:pPr/>
      <w:r>
        <w:t xml:space="preserve">Oct 15, 2026</w:t>
      </w:r>
      <w:r>
        <w:t xml:space="preserve"> · </w:t>
      </w:r>
      <w:r>
        <w:t xml:space="preserve">@Ashen Weerasinghe</w:t>
      </w:r>
    </w:p>
    <w:p>
      <w:pPr>
        <w:pStyle w:val="Heading2"/>
      </w:pPr>
      <w:r>
        <w:t xml:space="preserve">Overview</w:t>
      </w:r>
    </w:p>
    <w:p>
      <w:pPr/>
      <w:r>
        <w:t xml:space="preserve">SiteGuard AI is a construction-hazard review tool: a reviewer photographs a hazard and records a voice note, Gemini proposes a structured finding, and a human approves every state change — confirming the hazard, assigning a fix, and verifying it closed. The one rule that governs every screen: the AI never decides anything on its own.</w:t>
      </w:r>
    </w:p>
    <w:p>
      <w:pPr>
        <w:pStyle w:val="Heading2"/>
      </w:pPr>
      <w:r>
        <w:t xml:space="preserve">Getting Started</w:t>
      </w:r>
    </w:p>
    <w:p>
      <w:pPr>
        <w:pStyle w:val="ListParagraph"/>
        <w:numPr>
          <w:ilvl w:val="0"/>
          <w:numId w:val="2"/>
        </w:numPr>
      </w:pPr>
      <w:r>
        <w:t xml:space="preserve">Open siteguard-ai-7hugymoxka-uc.a.run.app in any browser — no login or account needed.</w:t>
      </w:r>
    </w:p>
    <w:p>
      <w:pPr>
        <w:pStyle w:val="ListParagraph"/>
        <w:numPr>
          <w:ilvl w:val="0"/>
          <w:numId w:val="2"/>
        </w:numPr>
      </w:pPr>
      <w:r>
        <w:t xml:space="preserve">Set your name in the </w:t>
      </w:r>
      <w:r>
        <w:rPr>
          <w:b/>
        </w:rPr>
        <w:t xml:space="preserve">Reviewer name</w:t>
      </w:r>
      <w:r>
        <w:t xml:space="preserve"> field in the sidebar; it’s attributed to every action you take (confirmations, assignments, approvals) in the audit history.</w:t>
      </w:r>
    </w:p>
    <w:p>
      <w:pPr>
        <w:pStyle w:val="ListParagraph"/>
        <w:numPr>
          <w:ilvl w:val="0"/>
          <w:numId w:val="2"/>
        </w:numPr>
      </w:pPr>
      <w:r>
        <w:t xml:space="preserve">Three views in the sidebar: </w:t>
      </w:r>
      <w:r>
        <w:rPr>
          <w:b/>
        </w:rPr>
        <w:t xml:space="preserve">Capture</w:t>
      </w:r>
      <w:r>
        <w:t xml:space="preserve">, </w:t>
      </w:r>
      <w:r>
        <w:rPr>
          <w:b/>
        </w:rPr>
        <w:t xml:space="preserve">Hazard Register</w:t>
      </w:r>
      <w:r>
        <w:t xml:space="preserve">, </w:t>
      </w:r>
      <w:r>
        <w:rPr>
          <w:b/>
        </w:rPr>
        <w:t xml:space="preserve">Follow-up</w:t>
      </w:r>
      <w:r>
        <w:t xml:space="preserve">.</w:t>
      </w:r>
    </w:p>
    <w:p>
      <w:pPr>
        <w:pStyle w:val="Heading2"/>
      </w:pPr>
      <w:r>
        <w:t xml:space="preserve">Using Capture</w:t>
      </w:r>
    </w:p>
    <w:p>
      <w:pPr>
        <w:pStyle w:val="ListParagraph"/>
        <w:numPr>
          <w:ilvl w:val="0"/>
          <w:numId w:val="3"/>
        </w:numPr>
      </w:pPr>
      <w:r>
        <w:t xml:space="preserve">Go to </w:t>
      </w:r>
      <w:r>
        <w:rPr>
          <w:b/>
        </w:rPr>
        <w:t xml:space="preserve">Capture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Upload a site photo (JPG/PNG, up to 25MB).</w:t>
      </w:r>
    </w:p>
    <w:p>
      <w:pPr>
        <w:pStyle w:val="ListParagraph"/>
        <w:numPr>
          <w:ilvl w:val="0"/>
          <w:numId w:val="3"/>
        </w:numPr>
      </w:pPr>
      <w:r>
        <w:t xml:space="preserve">Optionally record a voice note (click </w:t>
      </w:r>
      <w:r>
        <w:rPr>
          <w:b/>
        </w:rPr>
        <w:t xml:space="preserve">Record</w:t>
      </w:r>
      <w:r>
        <w:t xml:space="preserve">) or upload an existing audio file under </w:t>
      </w:r>
      <w:r>
        <w:rPr>
          <w:b/>
        </w:rPr>
        <w:t xml:space="preserve">Upload voice note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Fill in </w:t>
      </w:r>
      <w:r>
        <w:rPr>
          <w:b/>
        </w:rPr>
        <w:t xml:space="preserve">Site</w:t>
      </w:r>
      <w:r>
        <w:t xml:space="preserve">, </w:t>
      </w:r>
      <w:r>
        <w:rPr>
          <w:b/>
        </w:rPr>
        <w:t xml:space="preserve">Date</w:t>
      </w:r>
      <w:r>
        <w:t xml:space="preserve">, and </w:t>
      </w:r>
      <w:r>
        <w:rPr>
          <w:b/>
        </w:rPr>
        <w:t xml:space="preserve">Activity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Click </w:t>
      </w:r>
      <w:r>
        <w:rPr>
          <w:b/>
        </w:rPr>
        <w:t xml:space="preserve">Analyze</w:t>
      </w:r>
      <w:r>
        <w:t xml:space="preserve"> — Gemini returns a finding: scenario, confidence (Confirmed / Inconclusive), description, and a suggested risk level.</w:t>
      </w:r>
    </w:p>
    <w:p>
      <w:pPr>
        <w:pStyle w:val="ListParagraph"/>
        <w:numPr>
          <w:ilvl w:val="0"/>
          <w:numId w:val="3"/>
        </w:numPr>
      </w:pPr>
      <w:r>
        <w:t xml:space="preserve">Review it, then choose one:</w:t>
      </w:r>
    </w:p>
    <w:p>
      <w:pPr>
        <w:pStyle w:val="ListParagraph"/>
        <w:numPr>
          <w:ilvl w:val="1"/>
          <w:numId w:val="4"/>
        </w:numPr>
      </w:pPr>
      <w:r>
        <w:rPr>
          <w:b/>
        </w:rPr>
        <w:t xml:space="preserve">Confirm</w:t>
      </w:r>
      <w:r>
        <w:t xml:space="preserve"> — saves the hazard as open, logged under your name.</w:t>
      </w:r>
    </w:p>
    <w:p>
      <w:pPr>
        <w:pStyle w:val="ListParagraph"/>
        <w:numPr>
          <w:ilvl w:val="1"/>
          <w:numId w:val="4"/>
        </w:numPr>
      </w:pPr>
      <w:r>
        <w:rPr>
          <w:b/>
        </w:rPr>
        <w:t xml:space="preserve">Reject</w:t>
      </w:r>
      <w:r>
        <w:t xml:space="preserve"> — saves it as closed/rejected; still logged for audit, so false positives are kept, not silently discarded.</w:t>
      </w:r>
    </w:p>
    <w:p>
      <w:pPr>
        <w:pStyle w:val="ListParagraph"/>
        <w:numPr>
          <w:ilvl w:val="1"/>
          <w:numId w:val="4"/>
        </w:numPr>
      </w:pPr>
      <w:r>
        <w:rPr>
          <w:b/>
        </w:rPr>
        <w:t xml:space="preserve">Edit</w:t>
      </w:r>
      <w:r>
        <w:t xml:space="preserve"> — adjust the description or the likelihood/severity sliders, then </w:t>
      </w:r>
      <w:r>
        <w:rPr>
          <w:b/>
        </w:rPr>
        <w:t xml:space="preserve">Save &amp; Confirm</w:t>
      </w:r>
      <w:r>
        <w:t xml:space="preserve">.</w:t>
      </w:r>
    </w:p>
    <w:p>
      <w:pPr>
        <w:pStyle w:val="Heading2"/>
      </w:pPr>
      <w:r>
        <w:t xml:space="preserve">Using the Hazard Register</w:t>
      </w:r>
    </w:p>
    <w:p>
      <w:pPr>
        <w:pStyle w:val="ListParagraph"/>
        <w:numPr>
          <w:ilvl w:val="0"/>
          <w:numId w:val="5"/>
        </w:numPr>
      </w:pPr>
      <w:r>
        <w:t xml:space="preserve">Go to </w:t>
      </w:r>
      <w:r>
        <w:rPr>
          <w:b/>
        </w:rPr>
        <w:t xml:space="preserve">Hazard Register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t xml:space="preserve">Filter by status (Open / Pending Review / Closed) or scenario.</w:t>
      </w:r>
    </w:p>
    <w:p>
      <w:pPr>
        <w:pStyle w:val="ListParagraph"/>
        <w:numPr>
          <w:ilvl w:val="0"/>
          <w:numId w:val="5"/>
        </w:numPr>
      </w:pPr>
      <w:r>
        <w:t xml:space="preserve">Each card shows a thumbnail, a color-coded status pill, and a one-line summary.</w:t>
      </w:r>
    </w:p>
    <w:p>
      <w:pPr>
        <w:pStyle w:val="ListParagraph"/>
        <w:numPr>
          <w:ilvl w:val="0"/>
          <w:numId w:val="5"/>
        </w:numPr>
      </w:pPr>
      <w:r>
        <w:t xml:space="preserve">Click </w:t>
      </w:r>
      <w:r>
        <w:rPr>
          <w:b/>
        </w:rPr>
        <w:t xml:space="preserve">View</w:t>
      </w:r>
      <w:r>
        <w:t xml:space="preserve"> to open a hazard: see the full finding, risk score, and append-only history.</w:t>
      </w:r>
    </w:p>
    <w:p>
      <w:pPr>
        <w:pStyle w:val="ListParagraph"/>
        <w:numPr>
          <w:ilvl w:val="0"/>
          <w:numId w:val="5"/>
        </w:numPr>
      </w:pPr>
      <w:r>
        <w:t xml:space="preserve">If the hazard is confirmed but has no action yet, fill in the </w:t>
      </w:r>
      <w:r>
        <w:rPr>
          <w:b/>
        </w:rPr>
        <w:t xml:space="preserve">Assign corrective action</w:t>
      </w:r>
      <w:r>
        <w:t xml:space="preserve"> form (description, owner, due date, escalation rule) and click </w:t>
      </w:r>
      <w:r>
        <w:rPr>
          <w:b/>
        </w:rPr>
        <w:t xml:space="preserve">Assign</w:t>
      </w:r>
      <w:r>
        <w:t xml:space="preserve">.</w:t>
      </w:r>
    </w:p>
    <w:p>
      <w:pPr>
        <w:pStyle w:val="Heading2"/>
      </w:pPr>
      <w:r>
        <w:t xml:space="preserve">Using Follow-up</w:t>
      </w:r>
    </w:p>
    <w:p>
      <w:pPr>
        <w:pStyle w:val="ListParagraph"/>
        <w:numPr>
          <w:ilvl w:val="0"/>
          <w:numId w:val="6"/>
        </w:numPr>
      </w:pPr>
      <w:r>
        <w:t xml:space="preserve">Go to </w:t>
      </w:r>
      <w:r>
        <w:rPr>
          <w:b/>
        </w:rPr>
        <w:t xml:space="preserve">Follow-up</w:t>
      </w:r>
      <w:r>
        <w:t xml:space="preserve">.</w:t>
      </w:r>
    </w:p>
    <w:p>
      <w:pPr>
        <w:pStyle w:val="ListParagraph"/>
        <w:numPr>
          <w:ilvl w:val="0"/>
          <w:numId w:val="6"/>
        </w:numPr>
      </w:pPr>
      <w:r>
        <w:t xml:space="preserve">Pick an open hazard from the dropdown — its original (“Before”) photo shows on the left.</w:t>
      </w:r>
    </w:p>
    <w:p>
      <w:pPr>
        <w:pStyle w:val="ListParagraph"/>
        <w:numPr>
          <w:ilvl w:val="0"/>
          <w:numId w:val="6"/>
        </w:numPr>
      </w:pPr>
      <w:r>
        <w:t xml:space="preserve">Upload new evidence (“After”) on the right.</w:t>
      </w:r>
    </w:p>
    <w:p>
      <w:pPr>
        <w:pStyle w:val="ListParagraph"/>
        <w:numPr>
          <w:ilvl w:val="0"/>
          <w:numId w:val="6"/>
        </w:numPr>
      </w:pPr>
      <w:r>
        <w:t xml:space="preserve">Click </w:t>
      </w:r>
      <w:r>
        <w:rPr>
          <w:b/>
        </w:rPr>
        <w:t xml:space="preserve">Analyze Follow-up</w:t>
      </w:r>
      <w:r>
        <w:t xml:space="preserve"> — Gemini compares the two and reports whether the evidence supports closure, with its reasoning and a confidence flag.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Approve closure</w:t>
      </w:r>
      <w:r>
        <w:t xml:space="preserve"> to close the hazard, or </w:t>
      </w:r>
      <w:r>
        <w:rPr>
          <w:b/>
        </w:rPr>
        <w:t xml:space="preserve">Reject — stays open</w:t>
      </w:r>
      <w:r>
        <w:t xml:space="preserve"> to keep it on the register.</w:t>
      </w:r>
    </w:p>
    <w:p>
      <w:pPr>
        <w:pStyle w:val="Heading2"/>
      </w:pPr>
      <w:r>
        <w:t xml:space="preserve">Testing Checklist</w:t>
      </w:r>
    </w:p>
    <w:p>
      <w:pPr/>
      <w:r>
        <w:t xml:space="preserve">A manual run-through using the placeholder test images already committed at </w:t>
      </w:r>
      <w:r>
        <w:rPr>
          <w:rStyle w:val="CodeChar"/>
        </w:rPr>
        <w:t xml:space="preserve">assets/test-images/</w:t>
      </w:r>
      <w:r>
        <w:t xml:space="preserve"> (synthetic illustrations — swap for real site photos before a live demo if time allows):</w:t>
      </w:r>
    </w:p>
    <w:p>
      <w:pPr>
        <w:pStyle w:val="ListParagraph"/>
        <w:numPr>
          <w:ilvl w:val="0"/>
          <w:numId w:val="7"/>
        </w:numPr>
      </w:pPr>
      <w:r>
        <w:t xml:space="preserve">☐ Capture: upload </w:t>
      </w:r>
      <w:r>
        <w:rPr>
          <w:rStyle w:val="CodeChar"/>
        </w:rPr>
        <w:t xml:space="preserve">unprotected_edge_01_clear.jpg</w:t>
      </w:r>
      <w:r>
        <w:t xml:space="preserve">, fill in any site/date/activity, Analyze, confirm it. Check it appears in the Hazard Register as Open.</w:t>
      </w:r>
    </w:p>
    <w:p>
      <w:pPr>
        <w:pStyle w:val="ListParagraph"/>
        <w:numPr>
          <w:ilvl w:val="0"/>
          <w:numId w:val="7"/>
        </w:numPr>
      </w:pPr>
      <w:r>
        <w:t xml:space="preserve">☐ Capture: upload one of the </w:t>
      </w:r>
      <w:r>
        <w:rPr>
          <w:rStyle w:val="CodeChar"/>
        </w:rPr>
        <w:t xml:space="preserve">_ambiguous</w:t>
      </w:r>
      <w:r>
        <w:t xml:space="preserve"> images (e.g. </w:t>
      </w:r>
      <w:r>
        <w:rPr>
          <w:rStyle w:val="CodeChar"/>
        </w:rPr>
        <w:t xml:space="preserve">ppe_concern_03_ambiguous.jpg</w:t>
      </w:r>
      <w:r>
        <w:t xml:space="preserve">), Analyze, and confirm the result is flagged Inconclusive, not a guess.</w:t>
      </w:r>
    </w:p>
    <w:p>
      <w:pPr>
        <w:pStyle w:val="ListParagraph"/>
        <w:numPr>
          <w:ilvl w:val="0"/>
          <w:numId w:val="7"/>
        </w:numPr>
      </w:pPr>
      <w:r>
        <w:t xml:space="preserve">☐ Hazard Register: filter by status and by scenario; confirm the counts match what you’ve created.</w:t>
      </w:r>
    </w:p>
    <w:p>
      <w:pPr>
        <w:pStyle w:val="ListParagraph"/>
        <w:numPr>
          <w:ilvl w:val="0"/>
          <w:numId w:val="7"/>
        </w:numPr>
      </w:pPr>
      <w:r>
        <w:t xml:space="preserve">☐ Hazard Register: open a confirmed hazard with no action yet, assign a corrective action, confirm it shows the action details.</w:t>
      </w:r>
    </w:p>
    <w:p>
      <w:pPr>
        <w:pStyle w:val="ListParagraph"/>
        <w:numPr>
          <w:ilvl w:val="0"/>
          <w:numId w:val="7"/>
        </w:numPr>
      </w:pPr>
      <w:r>
        <w:t xml:space="preserve">☐ Follow-up: pick the hazard you just confirmed, upload a second test image as new evidence, Analyze Follow-up, and read the closure recommendation.</w:t>
      </w:r>
    </w:p>
    <w:p>
      <w:pPr>
        <w:pStyle w:val="ListParagraph"/>
        <w:numPr>
          <w:ilvl w:val="0"/>
          <w:numId w:val="7"/>
        </w:numPr>
      </w:pPr>
      <w:r>
        <w:t xml:space="preserve">☐ Follow-up: Approve closure, confirm the hazard now shows Closed in the register and the decision is in its history.</w:t>
      </w:r>
    </w:p>
    <w:p>
      <w:pPr>
        <w:pStyle w:val="ListParagraph"/>
        <w:numPr>
          <w:ilvl w:val="0"/>
          <w:numId w:val="7"/>
        </w:numPr>
      </w:pPr>
      <w:r>
        <w:t xml:space="preserve">☐ Repeat once with Reject — stays open instead, confirm the hazard stays Open/Pending.</w:t>
      </w:r>
    </w:p>
    <w:p>
      <w:pPr>
        <w:pStyle w:val="ListParagraph"/>
        <w:numPr>
          <w:ilvl w:val="0"/>
          <w:numId w:val="7"/>
        </w:numPr>
      </w:pPr>
      <w:r>
        <w:t xml:space="preserve">☐ Run </w:t>
      </w:r>
      <w:r>
        <w:rPr>
          <w:rStyle w:val="CodeChar"/>
        </w:rPr>
        <w:t xml:space="preserve">python scripts/seed_test_data.py</w:t>
      </w:r>
      <w:r>
        <w:t xml:space="preserve"> once (venv active) to pre-load three fabricated “prior visit” hazards if the register looks empty.</w:t>
      </w:r>
    </w:p>
    <w:p>
      <w:pPr>
        <w:pStyle w:val="Heading2"/>
      </w:pPr>
      <w:r>
        <w:t xml:space="preserve">Known Limits</w:t>
      </w:r>
    </w:p>
    <w:p>
      <w:pPr>
        <w:pStyle w:val="ListParagraph"/>
        <w:numPr>
          <w:ilvl w:val="0"/>
          <w:numId w:val="8"/>
        </w:numPr>
      </w:pPr>
      <w:r>
        <w:t xml:space="preserve">The Gemini free tier allows 5 requests/minute on this key — running through the checklist quickly can trip it; the app shows a friendly “rate limit reached, wait about a minute” message rather than crashing.</w:t>
      </w:r>
    </w:p>
    <w:p>
      <w:pPr>
        <w:pStyle w:val="ListParagraph"/>
        <w:numPr>
          <w:ilvl w:val="0"/>
          <w:numId w:val="8"/>
        </w:numPr>
      </w:pPr>
      <w:r>
        <w:t xml:space="preserve">The model occasionally returns a transient error under public demand; the app retries automatically (up to roughly 20 seconds) before showing a “try again” message.</w:t>
      </w:r>
    </w:p>
    <w:p>
      <w:pPr>
        <w:pStyle w:val="ListParagraph"/>
        <w:numPr>
          <w:ilvl w:val="0"/>
          <w:numId w:val="8"/>
        </w:numPr>
      </w:pPr>
      <w:r>
        <w:rPr>
          <w:rStyle w:val="CodeChar"/>
        </w:rPr>
        <w:t xml:space="preserve">assets/test-images/</w:t>
      </w:r>
      <w:r>
        <w:t xml:space="preserve"> are synthetic placeholder illustrations, not real construction photos — Gemini reasons about them correctly but may note the image looks abstract; swap in real site photos for a demo video or live judging if possible.</w:t>
      </w:r>
    </w:p>
    <w:p>
      <w:pPr>
        <w:pStyle w:val="ListParagraph"/>
        <w:numPr>
          <w:ilvl w:val="0"/>
          <w:numId w:val="8"/>
        </w:numPr>
      </w:pPr>
      <w:r>
        <w:t xml:space="preserve">Out of scope by design: live CCTV, real-time worker tracking, automatic regulatory certification, BIM integration, automated emergency response.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0"/>
  </w:num>
  <w:num w:numId="8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SiteGuard AI — User Manual</dc:title>
  <dc:description>Claude Docs node/324d649d-bc17@8 docx-w6</dc:description>
  <cp:revision>8</cp:revision>
</cp:coreProperties>
</file>