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document.xml" ContentType="application/vnd.openxmlformats-officedocument.wordprocessingml.document.main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rdbvau"/>
        <w:numPr/>
        <w:pBdr/>
        <w:jc w:val="left"/>
        <w:rPr/>
      </w:pPr>
      <w:r>
        <w:rPr/>
        <w:t>胶水层同步</w:t>
      </w:r>
    </w:p>
    <w:p>
      <w:pPr>
        <w:pStyle w:val="n53sx2"/>
        <w:numPr>
          <w:ilvl w:val="0"/>
          <w:numId w:val="1"/>
        </w:numPr>
        <w:rPr/>
      </w:pPr>
      <w:r>
        <w:rPr/>
        <w:t>合并</w:t>
      </w:r>
      <w:r>
        <w:rPr/>
        <w:t>（有数据端）</w:t>
      </w:r>
      <w:r>
        <w:rPr/>
        <w:t>向一本账</w:t>
      </w:r>
      <w:r>
        <w:rPr/>
        <w:t>（无数据端）</w:t>
      </w:r>
      <w:r>
        <w:rPr/>
        <w:t>同步</w:t>
      </w:r>
      <w:r>
        <w:rPr/>
        <w:t>基础数据</w:t>
      </w:r>
      <w:r>
        <w:rPr/>
        <w:t>/机构数据</w:t>
      </w:r>
      <w:r>
        <w:rPr/>
        <w:t>/用户</w:t>
      </w:r>
    </w:p>
    <w:p>
      <w:pPr>
        <w:pStyle w:val="qdqyfd"/>
        <w:numPr>
          <w:ilvl w:val="0"/>
          <w:numId w:val="2"/>
        </w:numPr>
        <w:rPr/>
      </w:pPr>
      <w:r>
        <w:rPr/>
        <w:t>在合并服务配置“主子服务管理”</w:t>
      </w:r>
    </w:p>
    <w:p>
      <w:pPr>
        <w:numPr>
          <w:ilvl w:val="0"/>
          <w:numId w:val="3"/>
        </w:numPr>
        <w:pBdr/>
        <w:snapToGrid/>
        <w:spacing w:before="120" w:after="120" w:line="240"/>
        <w:jc w:val="both"/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 合并服务注册主子服务管理后，进入主子服务管理页面。</w:t>
      </w:r>
    </w:p>
    <w:p>
      <w:pPr>
        <w:pBdr/>
        <w:snapToGrid/>
        <w:spacing w:before="120" w:after="120" w:line="240"/>
        <w:ind w:left="0"/>
        <w:jc w:val="both"/>
        <w:rPr>
          <w:color w:val="FF0000"/>
        </w:rPr>
      </w:pPr>
      <w:r>
        <w:rPr>
          <w:rFonts w:ascii="宋体" w:hAnsi="宋体" w:eastAsia="宋体" w:cs="宋体"/>
          <w:i w:val="false"/>
          <w:strike w:val="false"/>
          <w:color w:val="000000"/>
          <w:sz w:val="32"/>
          <w:u w:val="none"/>
        </w:rPr>
        <w:drawing>
          <wp:inline distT="0" distB="0" distL="0" distR="0">
            <wp:extent cx="5490210" cy="2662180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5490210" cy="26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pBdr/>
        <w:snapToGrid/>
        <w:spacing w:before="120" w:after="120" w:line="240"/>
        <w:jc w:val="both"/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点击“当前服务启用为参数服务”，取消勾选“启用参数层级”和“启用认证拦截”，点击确定。</w:t>
      </w:r>
    </w:p>
    <w:p>
      <w:pPr>
        <w:snapToGrid/>
        <w:spacing w:line="240"/>
        <w:ind w:left="425" w:leftChars="0" w:hanging="425"/>
        <w:jc w:val="both"/>
        <w:rPr/>
      </w:pPr>
      <w:r>
        <w:rPr/>
        <w:drawing>
          <wp:inline distT="0" distB="0" distL="0" distR="0">
            <wp:extent cx="5490210" cy="2666589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490210" cy="266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pBdr/>
        <w:snapToGrid/>
        <w:spacing w:before="120" w:after="120" w:line="240"/>
        <w:jc w:val="both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点击“新增服务”，标识为BDE，地址为BDE一本账地址，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点击测试连接，提示连接成功，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点击确定。</w:t>
      </w:r>
    </w:p>
    <w:p>
      <w:pPr>
        <w:snapToGrid/>
        <w:spacing w:line="240"/>
        <w:ind w:left="425" w:leftChars="0" w:hanging="425"/>
        <w:jc w:val="both"/>
        <w:rPr/>
      </w:pPr>
      <w:r>
        <w:rPr>
          <w:shd/>
        </w:rPr>
        <w:drawing>
          <wp:inline distT="0" distB="0" distL="0" distR="0">
            <wp:extent cx="5490210" cy="2647803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5490210" cy="2647803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pBdr/>
        <w:snapToGrid/>
        <w:spacing w:before="120" w:after="120" w:line="240"/>
        <w:jc w:val="both"/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弹出授权界面，点击“授权认证”。</w:t>
      </w:r>
    </w:p>
    <w:p>
      <w:pPr>
        <w:pBdr/>
        <w:snapToGrid/>
        <w:spacing w:line="240"/>
        <w:ind w:left="425" w:hanging="425"/>
        <w:jc w:val="both"/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</w:pPr>
      <w:r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  <w:drawing>
          <wp:inline distT="0" distB="0" distL="0" distR="0">
            <wp:extent cx="5490210" cy="3686462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490210" cy="368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pBdr/>
        <w:snapToGrid/>
        <w:spacing w:before="120" w:after="120" w:line="240"/>
        <w:jc w:val="both"/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在合并服务进行胶水层配置，点击胶水层接入服务的操作列中的“配置”按钮。</w:t>
      </w:r>
    </w:p>
    <w:p>
      <w:pPr>
        <w:snapToGrid/>
        <w:spacing w:line="240"/>
        <w:ind w:left="336"/>
        <w:jc w:val="both"/>
        <w:rPr/>
      </w:pPr>
    </w:p>
    <w:p>
      <w:pPr>
        <w:pBdr/>
        <w:snapToGrid/>
        <w:spacing w:line="240"/>
        <w:ind w:left="425" w:hanging="425"/>
        <w:jc w:val="both"/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</w:pPr>
      <w:r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  <w:drawing>
          <wp:inline distT="0" distB="0" distL="0" distR="0">
            <wp:extent cx="5490210" cy="2741617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490210" cy="27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pBdr/>
        <w:snapToGrid/>
        <w:spacing w:before="120" w:after="120" w:line="240"/>
        <w:jc w:val="both"/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 xml:space="preserve">在基础数据页签中添加基础数据映射；在组织机构页签中添加组织机构类型，点击“添加基础数据映射”页面的确定，点击“接入服务配置”页面的确定 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15000" cy="6433706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9"/>
                    <a:srcRect l="0" t="0" r="0" b="0"/>
                    <a:stretch/>
                  </pic:blipFill>
                  <pic:spPr>
                    <a:xfrm rot="0">
                      <a:off x="0" y="0"/>
                      <a:ext cx="5715000" cy="643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60085" cy="6565446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760085" cy="656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pBdr>
          <w:bottom/>
        </w:pBdr>
        <w:snapToGrid/>
        <w:spacing w:before="120" w:after="120" w:line="240"/>
        <w:rPr/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本位币字段映射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（7.3版本字段已统一不需要映射）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，在组织机构页签的</w:t>
      </w:r>
      <w:r>
        <w:rPr>
          <w:rFonts w:ascii="宋体" w:hAnsi="宋体" w:eastAsia="宋体" w:cs="宋体"/>
          <w:b w:val="false"/>
          <w:i w:val="false"/>
          <w:strike w:val="false"/>
          <w:color w:val="000000"/>
          <w:spacing w:val="0"/>
          <w:sz w:val="21"/>
          <w:u w:val="none"/>
        </w:rPr>
        <w:t>组织机构字段映射点击添加，主数据服务字段填CURRENCYID，接入服务字段填FINCURR</w:t>
      </w:r>
    </w:p>
    <w:p>
      <w:pPr>
        <w:pBdr/>
        <w:snapToGrid/>
        <w:spacing w:before="120" w:after="120" w:line="240"/>
        <w:ind w:left="0"/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drawing>
          <wp:inline distT="0" distB="0" distL="0" distR="0">
            <wp:extent cx="5760085" cy="6555189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5760085" cy="65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qdqyfd"/>
        <w:numPr>
          <w:ilvl w:val="0"/>
          <w:numId w:val="2"/>
        </w:numPr>
        <w:rPr/>
      </w:pPr>
      <w:r>
        <w:rPr/>
        <w:t>在一本账服务配置“胶水层计划任务”</w:t>
      </w:r>
    </w:p>
    <w:p>
      <w:pPr>
        <w:numPr>
          <w:ilvl w:val="0"/>
          <w:numId w:val="4"/>
        </w:numPr>
        <w:pBdr>
          <w:bottom/>
        </w:pBdr>
        <w:snapToGrid/>
        <w:spacing w:before="120" w:after="120" w:line="240"/>
        <w:jc w:val="both"/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在计划任务功能中新增“胶水层取数”，同步方式选择“增量”，取消其他勾选，仅填写基础数据MD_ACCTSUBJECT；建议1分钟一次</w:t>
      </w:r>
    </w:p>
    <w:p>
      <w:pPr>
        <w:pBdr/>
        <w:snapToGrid/>
        <w:spacing w:line="240"/>
        <w:ind w:left="336"/>
        <w:jc w:val="both"/>
        <w:rPr>
          <w:rFonts w:ascii="宋体" w:hAnsi="宋体" w:eastAsia="宋体" w:cs="宋体"/>
          <w:i w:val="false"/>
          <w:strike w:val="false"/>
          <w:color w:val="000000"/>
          <w:sz w:val="32"/>
          <w:u w:val="none"/>
        </w:rPr>
      </w:pPr>
      <w:r>
        <w:rPr/>
        <w:drawing>
          <wp:inline distT="0" distB="0" distL="0" distR="0">
            <wp:extent cx="5546725" cy="5664740"/>
            <wp:effectExtent l="0" t="0" r="0" b="0"/>
            <wp:docPr id="26" name="picture" descr="descrip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5546725" cy="5664740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snapToGrid/>
        <w:spacing w:line="240"/>
        <w:ind w:left="336"/>
        <w:jc w:val="center"/>
        <w:rPr/>
      </w:pPr>
      <w:r>
        <w:rPr/>
        <w:drawing>
          <wp:inline distT="0" distB="0" distL="0" distR="0">
            <wp:extent cx="6003911" cy="6177013"/>
            <wp:effectExtent l="0" t="0" r="0" b="0"/>
            <wp:docPr id="29" name="picture" descr="descrip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3"/>
                    <a:srcRect l="0" t="0" r="0" b="0"/>
                    <a:stretch/>
                  </pic:blipFill>
                  <pic:spPr>
                    <a:xfrm rot="0">
                      <a:off x="0" y="0"/>
                      <a:ext cx="6003911" cy="6177013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pBdr>
          <w:bottom/>
        </w:pBdr>
        <w:snapToGrid/>
        <w:spacing w:before="120" w:after="120" w:line="240"/>
        <w:jc w:val="both"/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 机构类型管理中新建合并系统中相同标识的机构类型。（例如：MD_ORG_JSFR）</w:t>
      </w:r>
    </w:p>
    <w:p>
      <w:pPr>
        <w:numPr>
          <w:ilvl w:val="0"/>
          <w:numId w:val="4"/>
        </w:numPr>
        <w:pBdr>
          <w:bottom/>
        </w:pBdr>
        <w:snapToGrid/>
        <w:spacing w:before="120" w:after="120" w:line="240"/>
        <w:jc w:val="both"/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新建计划任务选择第2步中的机构类型，周期类型建议1天</w:t>
      </w:r>
    </w:p>
    <w:p>
      <w:pPr>
        <w:pBdr/>
        <w:snapToGrid/>
        <w:spacing w:line="240"/>
        <w:ind w:left="425" w:hanging="425"/>
        <w:jc w:val="both"/>
        <w:rPr>
          <w:rFonts w:ascii="宋体" w:hAnsi="宋体" w:eastAsia="宋体" w:cs="宋体"/>
          <w:i w:val="false"/>
          <w:strike w:val="false"/>
          <w:color w:val="000000"/>
          <w:sz w:val="44"/>
          <w:u w:val="none"/>
        </w:rPr>
      </w:pPr>
      <w:r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  <w:drawing>
          <wp:inline distT="0" distB="0" distL="0" distR="0">
            <wp:extent cx="5490210" cy="1936203"/>
            <wp:effectExtent l="0" t="0" r="0" b="0"/>
            <wp:docPr id="32" name="picture" descr="descrip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5490210" cy="1936203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/>
        <w:ind w:left="425" w:hanging="425"/>
        <w:jc w:val="both"/>
        <w:rPr>
          <w:rFonts w:ascii="宋体" w:hAnsi="宋体" w:eastAsia="宋体" w:cs="宋体"/>
          <w:i w:val="false"/>
          <w:strike w:val="false"/>
          <w:color w:val="000000"/>
          <w:sz w:val="44"/>
          <w:u w:val="none"/>
        </w:rPr>
      </w:pPr>
      <w:r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  <w:drawing>
          <wp:inline distT="0" distB="0" distL="0" distR="0">
            <wp:extent cx="5353050" cy="5450527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5"/>
                    <a:srcRect l="0" t="0" r="0" b="0"/>
                    <a:stretch/>
                  </pic:blipFill>
                  <pic:spPr>
                    <a:xfrm rot="0">
                      <a:off x="0" y="0"/>
                      <a:ext cx="5353050" cy="545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53sx2"/>
        <w:numPr>
          <w:ilvl w:val="0"/>
          <w:numId w:val="1"/>
        </w:numPr>
        <w:pBdr>
          <w:bottom/>
        </w:pBdr>
        <w:rPr/>
      </w:pPr>
      <w:r>
        <w:rPr/>
        <w:t>一本账BDE向合并环境同步客商等基础数据</w:t>
      </w:r>
    </w:p>
    <w:p>
      <w:pPr>
        <w:pStyle w:val="qdqyfd"/>
        <w:numPr>
          <w:ilvl w:val="0"/>
          <w:numId w:val="5"/>
        </w:numPr>
        <w:rPr/>
      </w:pPr>
      <w:r>
        <w:rPr/>
        <w:t>合并环境胶水层取数配置</w:t>
      </w:r>
    </w:p>
    <w:p>
      <w:pPr>
        <w:numPr>
          <w:ilvl w:val="0"/>
          <w:numId w:val="6"/>
        </w:numPr>
        <w:pBdr>
          <w:bottom/>
        </w:pBdr>
        <w:snapToGrid/>
        <w:spacing w:before="120" w:after="120" w:line="240"/>
        <w:jc w:val="both"/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在合并环境认证服务管理，添加认证服务，标识为BDE，两个ID：ClientID和ClientSecret从BDE一本账的认证信息里的ID复制，点击确定</w:t>
      </w:r>
    </w:p>
    <w:p>
      <w:pPr>
        <w:pBdr/>
        <w:snapToGrid/>
        <w:spacing w:line="240"/>
        <w:ind w:left="425" w:hanging="425"/>
        <w:jc w:val="both"/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</w:pPr>
      <w:r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  <w:drawing>
          <wp:inline distT="0" distB="0" distL="0" distR="0">
            <wp:extent cx="5490210" cy="2649019"/>
            <wp:effectExtent l="0" t="0" r="0" b="0"/>
            <wp:docPr id="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9" name="picture" descr="descript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x="0" y="0"/>
                      <a:ext cx="5490210" cy="264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pBdr>
          <w:bottom/>
        </w:pBdr>
        <w:snapToGrid/>
        <w:spacing w:before="120" w:after="120" w:line="240"/>
        <w:jc w:val="both"/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在合并环境进入胶水层配置，右上角点击“切换配置模式”，选择接入胶水层服务配置，下拉选择标识为BDE的认证</w:t>
      </w:r>
    </w:p>
    <w:p>
      <w:pPr>
        <w:pBdr/>
        <w:snapToGrid/>
        <w:spacing w:line="240"/>
        <w:ind w:left="425" w:hanging="425"/>
        <w:jc w:val="both"/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</w:pPr>
      <w:r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  <w:drawing>
          <wp:inline distT="0" distB="0" distL="0" distR="0">
            <wp:extent cx="5490210" cy="2670998"/>
            <wp:effectExtent l="0" t="0" r="0" b="0"/>
            <wp:docPr id="4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2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5490210" cy="267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/>
        <w:ind w:left="425" w:hanging="425"/>
        <w:jc w:val="both"/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</w:pPr>
      <w:r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  <w:drawing>
          <wp:inline distT="0" distB="0" distL="0" distR="0">
            <wp:extent cx="5520789" cy="725428"/>
            <wp:effectExtent l="0" t="0" r="0" b="0"/>
            <wp:docPr id="4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5" name="picture" descr="descript"/>
                    <pic:cNvPicPr/>
                  </pic:nvPicPr>
                  <pic:blipFill rotWithShape="true">
                    <a:blip r:embed="rId18"/>
                    <a:srcRect l="0" t="0" r="0" b="0"/>
                    <a:stretch/>
                  </pic:blipFill>
                  <pic:spPr>
                    <a:xfrm rot="0">
                      <a:off x="0" y="0"/>
                      <a:ext cx="5520789" cy="72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/>
        <w:ind w:left="425" w:hanging="425"/>
        <w:jc w:val="both"/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</w:pPr>
    </w:p>
    <w:p>
      <w:pPr>
        <w:numPr>
          <w:ilvl w:val="0"/>
          <w:numId w:val="6"/>
        </w:numPr>
        <w:pBdr>
          <w:bottom/>
        </w:pBdr>
        <w:snapToGrid/>
        <w:spacing w:before="120" w:after="120" w:line="240"/>
        <w:jc w:val="both"/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在BDE一本账环境进入胶水层配置，右上角点击切换配置模式，选择“胶水层服务配置”，添加胶水层主数据服务，选项选择“首条”认证（标识为BDE）</w:t>
      </w:r>
    </w:p>
    <w:p>
      <w:pPr>
        <w:pBdr/>
        <w:snapToGrid/>
        <w:spacing w:line="240"/>
        <w:ind w:left="425" w:hanging="425"/>
        <w:jc w:val="both"/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</w:pPr>
      <w:r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  <w:drawing>
          <wp:inline distT="0" distB="0" distL="0" distR="0">
            <wp:extent cx="5490210" cy="2650650"/>
            <wp:effectExtent l="0" t="0" r="0" b="0"/>
            <wp:docPr id="47" name="picture" descr="descrip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picture" descr="descript"/>
                    <pic:cNvPicPr/>
                  </pic:nvPicPr>
                  <pic:blipFill rotWithShape="true">
                    <a:blip r:embed="rId19"/>
                    <a:srcRect/>
                    <a:stretch/>
                  </pic:blipFill>
                  <pic:spPr>
                    <a:xfrm>
                      <a:off x="0" y="0"/>
                      <a:ext cx="5490210" cy="2650650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pBdr>
          <w:bottom/>
        </w:pBdr>
        <w:snapToGrid/>
        <w:spacing w:before="120" w:after="120" w:line="240"/>
        <w:jc w:val="both"/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在一本账BDE环境添加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“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胶水层接入服务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”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，</w:t>
      </w: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接入服务选择应用服务下拉里的CLIENT</w:t>
      </w:r>
    </w:p>
    <w:p>
      <w:pPr>
        <w:pBdr/>
        <w:snapToGrid/>
        <w:spacing w:line="240"/>
        <w:ind w:left="425" w:hanging="425"/>
        <w:jc w:val="both"/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</w:pPr>
      <w:r>
        <w:rPr>
          <w:rFonts w:ascii="'Times New Roman'" w:hAnsi="'Times New Roman'" w:eastAsia="'Times New Roman'" w:cs="'Times New Roman'"/>
          <w:i w:val="false"/>
          <w:strike w:val="false"/>
          <w:color w:val="000000"/>
          <w:sz w:val="32"/>
          <w:u w:val="none"/>
        </w:rPr>
        <w:drawing>
          <wp:inline distT="0" distB="0" distL="0" distR="0">
            <wp:extent cx="5490210" cy="2651975"/>
            <wp:effectExtent l="0" t="0" r="0" b="0"/>
            <wp:docPr id="5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1" name="picture" descr="descript"/>
                    <pic:cNvPicPr/>
                  </pic:nvPicPr>
                  <pic:blipFill rotWithShape="true">
                    <a:blip r:embed="rId20"/>
                    <a:stretch/>
                  </pic:blipFill>
                  <pic:spPr>
                    <a:xfrm>
                      <a:off x="0" y="0"/>
                      <a:ext cx="5490210" cy="265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pBdr>
          <w:bottom/>
        </w:pBdr>
        <w:snapToGrid/>
        <w:spacing w:before="120" w:after="120" w:line="240"/>
        <w:jc w:val="both"/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并在操作列点击配置，在基础数据页签中增加所需的基础数据标识，例如往来单位MD_CUSTOMER，点击添加基础数据映射的确定，点击接入服务配置的确定</w:t>
      </w:r>
    </w:p>
    <w:p>
      <w:pPr>
        <w:pStyle w:val="ablt93"/>
        <w:pBdr/>
        <w:rPr/>
      </w:pPr>
      <w:r>
        <w:rPr/>
        <w:drawing>
          <wp:inline distT="0" distB="0" distL="0" distR="0">
            <wp:extent cx="5490210" cy="6226097"/>
            <wp:effectExtent l="0" t="0" r="0" b="0"/>
            <wp:docPr id="5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4" name="picture" descr="descript"/>
                    <pic:cNvPicPr/>
                  </pic:nvPicPr>
                  <pic:blipFill rotWithShape="true">
                    <a:blip r:embed="rId21"/>
                    <a:stretch/>
                  </pic:blipFill>
                  <pic:spPr>
                    <a:xfrm>
                      <a:off x="0" y="0"/>
                      <a:ext cx="5490210" cy="622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qdqyfd"/>
        <w:numPr>
          <w:ilvl w:val="0"/>
          <w:numId w:val="5"/>
        </w:numPr>
        <w:rPr/>
      </w:pPr>
      <w:r>
        <w:rPr/>
        <w:t>在合并服务配置“胶水层计划任务”</w:t>
      </w:r>
    </w:p>
    <w:p>
      <w:pPr>
        <w:numPr>
          <w:ilvl w:val="0"/>
          <w:numId w:val="7"/>
        </w:numPr>
        <w:pBdr>
          <w:bottom/>
        </w:pBdr>
        <w:snapToGrid/>
        <w:spacing w:before="120" w:after="120" w:line="240"/>
        <w:jc w:val="both"/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</w:pPr>
      <w:r>
        <w:rPr>
          <w:rFonts w:ascii="宋体" w:hAnsi="宋体" w:eastAsia="宋体" w:cs="宋体"/>
          <w:i w:val="false"/>
          <w:strike w:val="false"/>
          <w:color w:val="000000"/>
          <w:sz w:val="21"/>
          <w:u w:val="none"/>
        </w:rPr>
        <w:t>在合并服务，计划任务功能中新增“胶水层取数”，同步方式选择“增量”，取消其他勾选，仅填写基础数据例如：MD_CUSTOMER</w:t>
      </w:r>
    </w:p>
    <w:p>
      <w:pPr>
        <w:pStyle w:val="ablt93"/>
        <w:pBdr/>
        <w:rPr/>
      </w:pPr>
      <w:r>
        <w:rPr>
          <w:rFonts w:ascii="宋体" w:hAnsi="宋体" w:eastAsia="宋体" w:cs="宋体"/>
          <w:i w:val="false"/>
          <w:strike w:val="false"/>
          <w:color w:val="000000"/>
          <w:sz w:val="32"/>
          <w:u w:val="none"/>
        </w:rPr>
        <w:drawing>
          <wp:inline distT="0" distB="0" distL="0" distR="0">
            <wp:extent cx="5490210" cy="5613863"/>
            <wp:effectExtent l="0" t="0" r="0" b="0"/>
            <wp:docPr id="5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7" name="picture" descr="descript"/>
                    <pic:cNvPicPr/>
                  </pic:nvPicPr>
                  <pic:blipFill rotWithShape="true">
                    <a:blip r:embed="rId22"/>
                    <a:stretch/>
                  </pic:blipFill>
                  <pic:spPr>
                    <a:xfrm>
                      <a:off x="0" y="0"/>
                      <a:ext cx="5490210" cy="561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93v5zi"/>
        <w:numPr>
          <w:ilvl w:val="0"/>
          <w:numId w:val="8"/>
        </w:numPr>
        <w:pBdr/>
        <w:rPr/>
      </w:pPr>
      <w:r>
        <w:rPr/>
        <w:t>常见问题</w:t>
      </w:r>
    </w:p>
    <w:p>
      <w:pPr>
        <w:pStyle w:val="qdqyfd"/>
        <w:numPr>
          <w:ilvl w:val="0"/>
          <w:numId w:val="9"/>
        </w:numPr>
        <w:pBdr/>
        <w:ind/>
        <w:rPr/>
      </w:pPr>
      <w:r>
        <w:rPr/>
        <w:t>女娲胶水层常见问题文档</w:t>
      </w:r>
      <w:r>
        <w:rPr/>
        <w:fldChar w:fldCharType="begin"/>
      </w:r>
      <w:r>
        <w:rPr/>
        <w:instrText xml:space="preserve">HYPERLINK https://nvwa.jiuqi.com.cn/doc/developer/index.html#/integration/glue/README?id=%e5%b8%b8%e8%a7%81%e9%97%ae%e9%a2%98 normalLink \tdkey 5u9722 \tdfe -10 \tdfn https%3A//nvwa.jiuqi.com.cn/doc/developer/index.html%23/integration/glue/README%3Fid%3D%25e5%25b8%25b8%25e8%25a7%2581%25e9%2597%25ae%25e9%25a2%2598 \tdfu https://nvwa.jiuqi.com.cn/doc/developer/index.html#/integration/glue/README?id=%e5%b8%b8%e8%a7%81%e9%97%ae%e9%a2%98 \tdlt inline </w:instrText>
      </w:r>
      <w:r>
        <w:rPr/>
        <w:fldChar w:fldCharType="separate"/>
      </w:r>
      <w:r>
        <w:rPr>
          <w:rStyle w:val="vz4hqn"/>
          <w:color/>
        </w:rPr>
        <w:t>https://nvwa.jiuqi.com.cn/doc/developer/index.html#/integration/glue/README?id=%e5%b8%b8%e8%a7%81%e9%97%ae%e9%a2%98</w:t>
      </w:r>
      <w:r>
        <w:rPr/>
        <w:fldChar w:fldCharType="end"/>
      </w:r>
    </w:p>
    <w:p>
      <w:pPr>
        <w:pStyle w:val="ablt93"/>
        <w:pBdr>
          <w:bottom/>
        </w:pBdr>
        <w:rPr/>
      </w:pPr>
    </w:p>
    <w:p>
      <w:pPr>
        <w:pStyle w:val="qdqyfd"/>
        <w:numPr>
          <w:ilvl w:val="0"/>
          <w:numId w:val="9"/>
        </w:numPr>
        <w:pBdr/>
        <w:rPr/>
      </w:pPr>
      <w:r>
        <w:rPr/>
        <w:t>新环境点击授权界面时，授权认证点击无反应</w:t>
      </w:r>
    </w:p>
    <w:p>
      <w:pPr>
        <w:pStyle w:val="ablt93"/>
        <w:pBdr/>
        <w:rPr/>
      </w:pPr>
      <w:r>
        <w:rPr/>
        <w:t>排查1：访问子服务的主子服务功能，参数服务处点击【关闭】</w:t>
      </w:r>
    </w:p>
    <w:p>
      <w:pPr>
        <w:pStyle w:val="ablt93"/>
        <w:pBdr/>
        <w:rPr/>
      </w:pPr>
      <w:r>
        <w:rPr/>
        <w:drawing>
          <wp:inline distT="0" distB="0" distL="0" distR="0">
            <wp:extent cx="3429000" cy="3219450"/>
            <wp:effectExtent l="0" t="0" r="0" b="0"/>
            <wp:docPr id="5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0" name="picture" descr="descript"/>
                    <pic:cNvPicPr/>
                  </pic:nvPicPr>
                  <pic:blipFill rotWithShape="true">
                    <a:blip r:embed="rId23"/>
                    <a:stretch/>
                  </pic:blipFill>
                  <pic:spPr>
                    <a:xfrm>
                      <a:off x="0" y="0"/>
                      <a:ext cx="3429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60085" cy="1177273"/>
            <wp:effectExtent l="0" t="0" r="0" b="0"/>
            <wp:docPr id="6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3" name="picture" descr="descript"/>
                    <pic:cNvPicPr/>
                  </pic:nvPicPr>
                  <pic:blipFill rotWithShape="true">
                    <a:blip r:embed="rId24"/>
                    <a:stretch/>
                  </pic:blipFill>
                  <pic:spPr>
                    <a:xfrm>
                      <a:off x="0" y="0"/>
                      <a:ext cx="5760085" cy="117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pBdr/>
        <w:rPr/>
      </w:pPr>
      <w:r>
        <w:rPr/>
        <w:t>排查2：访问子服务的主子服务功能，存在备份库的其他环境子服务标识</w:t>
      </w:r>
    </w:p>
    <w:p>
      <w:pPr>
        <w:pStyle w:val="ablt93"/>
        <w:numPr/>
        <w:pBdr>
          <w:bottom/>
        </w:pBdr>
        <w:rPr/>
      </w:pPr>
      <w:r>
        <w:rPr/>
        <w:t>操作：</w:t>
      </w:r>
      <w:r>
        <w:rPr>
          <w:i w:val="false"/>
          <w:strike w:val="false"/>
          <w:color w:val="000000"/>
          <w:u w:val="none"/>
        </w:rPr>
        <w:t>alt</w:t>
      </w:r>
      <w:r>
        <w:rPr>
          <w:i w:val="false"/>
          <w:strike w:val="false"/>
          <w:color w:val="000000"/>
          <w:u w:val="none"/>
        </w:rPr>
        <w:t>+ctrl</w:t>
      </w:r>
      <w:r>
        <w:rPr>
          <w:i w:val="false"/>
          <w:strike w:val="false"/>
          <w:color w:val="000000"/>
          <w:u w:val="none"/>
        </w:rPr>
        <w:t>显示解除业务服务绑定的按钮，点击解除</w:t>
      </w:r>
    </w:p>
    <w:p>
      <w:pPr>
        <w:pStyle w:val="ablt93"/>
        <w:numPr/>
        <w:pBdr>
          <w:bottom/>
        </w:pBdr>
        <w:rPr/>
      </w:pPr>
      <w:r>
        <w:rPr/>
        <w:drawing>
          <wp:inline distT="0" distB="0" distL="0" distR="0">
            <wp:extent cx="5760085" cy="2087909"/>
            <wp:effectExtent l="0" t="0" r="0" b="0"/>
            <wp:docPr id="6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6" name="picture" descr="descript"/>
                    <pic:cNvPicPr/>
                  </pic:nvPicPr>
                  <pic:blipFill rotWithShape="true">
                    <a:blip r:embed="rId25"/>
                    <a:stretch/>
                  </pic:blipFill>
                  <pic:spPr>
                    <a:xfrm>
                      <a:off x="0" y="0"/>
                      <a:ext cx="5760085" cy="208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pBdr>
          <w:bottom/>
        </w:pBdr>
        <w:rPr/>
      </w:pPr>
      <w:r>
        <w:rPr/>
        <w:t>排查3：访问子服务的认证服务管理，查看当前认证标识修改为“BDE”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2817042"/>
            <wp:effectExtent l="0" t="0" r="0" b="0"/>
            <wp:docPr id="6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9" name="picture" descr="descript"/>
                    <pic:cNvPicPr/>
                  </pic:nvPicPr>
                  <pic:blipFill rotWithShape="true">
                    <a:blip r:embed="rId26"/>
                    <a:stretch/>
                  </pic:blipFill>
                  <pic:spPr>
                    <a:xfrm>
                      <a:off x="0" y="0"/>
                      <a:ext cx="5760085" cy="281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qdqyfd"/>
        <w:numPr>
          <w:ilvl w:val="0"/>
          <w:numId w:val="9"/>
        </w:numPr>
        <w:pBdr/>
        <w:rPr/>
      </w:pPr>
      <w:r>
        <w:rPr/>
        <w:t>备份恢复库环境点击授权界面时，授权认证点击无反应</w:t>
      </w:r>
    </w:p>
    <w:p>
      <w:pPr>
        <w:pStyle w:val="ablt93"/>
        <w:numPr/>
        <w:pBdr/>
        <w:rPr/>
      </w:pPr>
      <w:r>
        <w:rPr/>
        <w:t>排查1：访问一本账BDE环境的主子服务功能，存在备份库的其他环境子服务标识</w:t>
      </w:r>
    </w:p>
    <w:p>
      <w:pPr>
        <w:pStyle w:val="ablt93"/>
        <w:numPr/>
        <w:pBdr>
          <w:bottom/>
        </w:pBdr>
        <w:rPr/>
      </w:pPr>
      <w:r>
        <w:rPr/>
        <w:t>操作1：</w:t>
      </w:r>
      <w:r>
        <w:rPr>
          <w:i w:val="false"/>
          <w:strike w:val="false"/>
          <w:color w:val="000000"/>
          <w:u w:val="none"/>
        </w:rPr>
        <w:t>ctrl+alt显示解除业务服务绑定的按钮，点击解除</w:t>
      </w:r>
    </w:p>
    <w:p>
      <w:pPr>
        <w:pStyle w:val="ablt93"/>
        <w:numPr/>
        <w:pBdr/>
        <w:rPr/>
      </w:pPr>
      <w:r>
        <w:rPr/>
        <w:drawing>
          <wp:inline distT="0" distB="0" distL="0" distR="0">
            <wp:extent cx="5760085" cy="2087909"/>
            <wp:effectExtent l="0" t="0" r="0" b="0"/>
            <wp:docPr id="7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2" name="picture" descr="descript"/>
                    <pic:cNvPicPr/>
                  </pic:nvPicPr>
                  <pic:blipFill rotWithShape="true">
                    <a:blip r:embed="rId25"/>
                    <a:srcRect/>
                    <a:stretch/>
                  </pic:blipFill>
                  <pic:spPr>
                    <a:xfrm>
                      <a:off x="0" y="0"/>
                      <a:ext cx="5760085" cy="2087909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Style w:val="ablt93"/>
        <w:numPr/>
        <w:pBdr/>
        <w:rPr/>
      </w:pPr>
      <w:r>
        <w:rPr/>
        <w:t>操作2：访问一本账BDE环境的认证服务管理功能，删除旧认证服务</w:t>
      </w:r>
    </w:p>
    <w:p>
      <w:pPr>
        <w:pStyle w:val="ablt93"/>
        <w:numPr/>
        <w:pBdr/>
        <w:rPr/>
      </w:pPr>
      <w:r>
        <w:rPr>
          <w:shd/>
        </w:rPr>
        <w:drawing>
          <wp:inline distT="0" distB="0" distL="0" distR="0">
            <wp:extent cx="5760085" cy="630338"/>
            <wp:effectExtent l="0" t="0" r="0" b="0"/>
            <wp:docPr id="7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5" name="picture" descr="descript"/>
                    <pic:cNvPicPr/>
                  </pic:nvPicPr>
                  <pic:blipFill rotWithShape="true">
                    <a:blip r:embed="rId27"/>
                    <a:stretch/>
                  </pic:blipFill>
                  <pic:spPr>
                    <a:xfrm>
                      <a:off x="0" y="0"/>
                      <a:ext cx="5760085" cy="63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numPr/>
        <w:pBdr/>
        <w:rPr/>
      </w:pPr>
      <w:r>
        <w:rPr/>
        <w:t>操作3：访问合并报表环境的胶水层配置功能，删除配置（若无配置可忽略）</w:t>
      </w:r>
    </w:p>
    <w:p>
      <w:pPr>
        <w:pStyle w:val="ablt93"/>
        <w:numPr/>
        <w:pBdr>
          <w:bottom/>
        </w:pBdr>
        <w:rPr/>
      </w:pPr>
      <w:r>
        <w:rPr>
          <w:shd/>
        </w:rPr>
        <w:drawing>
          <wp:inline distT="0" distB="0" distL="0" distR="0">
            <wp:extent cx="5760085" cy="1157485"/>
            <wp:effectExtent l="0" t="0" r="0" b="0"/>
            <wp:docPr id="7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8" name="picture" descr="descript"/>
                    <pic:cNvPicPr/>
                  </pic:nvPicPr>
                  <pic:blipFill rotWithShape="true">
                    <a:blip r:embed="rId28"/>
                    <a:stretch/>
                  </pic:blipFill>
                  <pic:spPr>
                    <a:xfrm>
                      <a:off x="0" y="0"/>
                      <a:ext cx="5760085" cy="115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>操作4：重复章节一</w:t>
      </w:r>
    </w:p>
    <w:p>
      <w:pPr>
        <w:pStyle w:val="qdqyfd"/>
        <w:numPr>
          <w:ilvl w:val="0"/>
          <w:numId w:val="9"/>
        </w:numPr>
        <w:pBdr/>
        <w:rPr/>
      </w:pPr>
      <w:r>
        <w:rPr/>
        <w:t>点击认证后跳转到了一本账的登陆界面</w:t>
      </w:r>
    </w:p>
    <w:p>
      <w:pPr>
        <w:pStyle w:val="ablt93"/>
        <w:pBdr/>
        <w:ind w:left="336"/>
        <w:rPr/>
      </w:pPr>
      <w:r>
        <w:rPr>
          <w:shd/>
        </w:rPr>
        <w:drawing>
          <wp:inline distT="0" distB="0" distL="0" distR="0">
            <wp:extent cx="9715500" cy="5396916"/>
            <wp:effectExtent l="0" t="0" r="0" b="0"/>
            <wp:docPr id="8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1" name="picture" descr="descript"/>
                    <pic:cNvPicPr/>
                  </pic:nvPicPr>
                  <pic:blipFill rotWithShape="true">
                    <a:blip r:embed="rId29"/>
                    <a:stretch/>
                  </pic:blipFill>
                  <pic:spPr>
                    <a:xfrm>
                      <a:off x="0" y="0"/>
                      <a:ext cx="9715500" cy="53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336"/>
        <w:rPr/>
      </w:pPr>
      <w:r>
        <w:rPr/>
        <w:t>现象：点击认证后跳转到了一本账的登陆界面，认证不成功。</w:t>
      </w:r>
    </w:p>
    <w:p>
      <w:pPr>
        <w:pStyle w:val="ablt93"/>
        <w:pBdr/>
        <w:ind w:left="336"/>
        <w:rPr/>
      </w:pPr>
      <w:r>
        <w:rPr/>
        <w:t>操作步骤;登录一本账系统后再重新点击认证即可成功。</w:t>
      </w:r>
    </w:p>
    <w:p>
      <w:pPr>
        <w:pStyle w:val="qdqyfd"/>
        <w:numPr>
          <w:ilvl w:val="0"/>
          <w:numId w:val="9"/>
        </w:numPr>
        <w:pBdr/>
        <w:rPr/>
      </w:pPr>
      <w:r>
        <w:rPr/>
        <w:t>服务无法访问</w:t>
      </w:r>
    </w:p>
    <w:p>
      <w:pPr>
        <w:pBdr>
          <w:bottom/>
        </w:pBd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使用主服务功能时多启用了选项，</w:t>
      </w:r>
      <w:r>
        <w:rPr/>
        <w:t>重新配置，取消勾选</w:t>
      </w:r>
    </w:p>
    <w:p>
      <w:pPr>
        <w:pStyle w:val="ablt93"/>
        <w:pBdr/>
        <w:ind w:left="336"/>
        <w:rPr/>
      </w:pPr>
      <w:r>
        <w:rPr>
          <w:shd/>
        </w:rPr>
        <w:drawing>
          <wp:inline distT="0" distB="0" distL="0" distR="0">
            <wp:extent cx="3676650" cy="3619500"/>
            <wp:effectExtent l="0" t="0" r="0" b="0"/>
            <wp:docPr id="8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4" name="picture" descr="descript"/>
                    <pic:cNvPicPr/>
                  </pic:nvPicPr>
                  <pic:blipFill rotWithShape="true">
                    <a:blip r:embed="rId30"/>
                    <a:stretch/>
                  </pic:blipFill>
                  <pic:spPr>
                    <a:xfrm>
                      <a:off x="0" y="0"/>
                      <a:ext cx="36766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qdqyfd"/>
        <w:numPr>
          <w:ilvl w:val="0"/>
          <w:numId w:val="9"/>
        </w:numPr>
        <w:pBdr/>
        <w:rPr/>
      </w:pPr>
      <w:r>
        <w:rPr/>
        <w:t>一本账单位类型同步不成功</w:t>
      </w:r>
    </w:p>
    <w:p>
      <w:pPr>
        <w:pBdr/>
        <w:snapToGrid/>
        <w:spacing w:line="24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完整现象：例如法人提示同步成功，提示有入库数据，但同步缓存、数据库查表无数据</w:t>
      </w:r>
    </w:p>
    <w:p>
      <w:pPr>
        <w:pBdr>
          <w:bottom/>
        </w:pBdr>
        <w:snapToGrid/>
        <w:spacing w:line="240"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以法人为例，类型从合并报表导出导入到一本账，但币别字段设置为了必填，但做了字段映射后使空值无法插入一本账的必填字段，需要改为非必填</w:t>
      </w:r>
    </w:p>
    <w:p>
      <w:pPr>
        <w:pStyle w:val="ablt93"/>
        <w:pBdr>
          <w:bottom/>
        </w:pBdr>
        <w:ind w:left="336"/>
        <w:rPr/>
      </w:pPr>
      <w:r>
        <w:rPr>
          <w:shd/>
        </w:rPr>
        <w:drawing>
          <wp:inline distT="0" distB="0" distL="0" distR="0">
            <wp:extent cx="5546725" cy="909014"/>
            <wp:effectExtent l="0" t="0" r="0" b="0"/>
            <wp:docPr id="8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7" name="picture" descr="descript"/>
                    <pic:cNvPicPr/>
                  </pic:nvPicPr>
                  <pic:blipFill rotWithShape="true">
                    <a:blip r:embed="rId31"/>
                    <a:stretch/>
                  </pic:blipFill>
                  <pic:spPr>
                    <a:xfrm>
                      <a:off x="0" y="0"/>
                      <a:ext cx="5546725" cy="90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ind w:left="336"/>
        <w:rPr/>
      </w:pPr>
    </w:p>
    <w:p>
      <w:pPr>
        <w:pStyle w:val="ablt93"/>
        <w:pBdr/>
        <w:rPr/>
      </w:pPr>
    </w:p>
    <w:p>
      <w:pPr>
        <w:pStyle w:val="qdqyfd"/>
        <w:numPr>
          <w:ilvl w:val="0"/>
          <w:numId w:val="9"/>
        </w:numPr>
        <w:pBdr/>
        <w:rPr/>
      </w:pPr>
      <w:r>
        <w:rPr/>
        <w:t>BDE取数成功，维度管理无一本账BDE影响范围</w:t>
      </w:r>
    </w:p>
    <w:p>
      <w:pPr>
        <w:pStyle w:val="ablt93"/>
        <w:pBdr/>
        <w:rPr/>
      </w:pPr>
      <w:r>
        <w:rPr/>
        <w:t>认证IP后缀仅以端口结尾无需#、无需/</w:t>
      </w:r>
    </w:p>
    <w:p>
      <w:pPr>
        <w:pStyle w:val="ablt93"/>
        <w:pBdr/>
        <w:rPr/>
      </w:pPr>
    </w:p>
    <w:p>
      <w:pPr>
        <w:pStyle w:val="qdqyfd"/>
        <w:numPr>
          <w:ilvl w:val="0"/>
          <w:numId w:val="9"/>
        </w:numPr>
        <w:pBdr/>
        <w:rPr/>
      </w:pPr>
      <w:r>
        <w:rPr/>
        <w:t>认证跳转时报错400</w:t>
      </w:r>
    </w:p>
    <w:p>
      <w:pPr>
        <w:pStyle w:val="ablt93"/>
        <w:pBdr>
          <w:bottom/>
        </w:pBdr>
        <w:rPr/>
      </w:pPr>
      <w:r>
        <w:rPr>
          <w:shd/>
        </w:rPr>
        <w:drawing>
          <wp:inline distT="0" distB="0" distL="0" distR="0">
            <wp:extent cx="5760085" cy="1068366"/>
            <wp:effectExtent l="0" t="0" r="0" b="0"/>
            <wp:docPr id="8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0" name="picture" descr="descript"/>
                    <pic:cNvPicPr/>
                  </pic:nvPicPr>
                  <pic:blipFill rotWithShape="true">
                    <a:blip r:embed="rId32"/>
                    <a:stretch/>
                  </pic:blipFill>
                  <pic:spPr>
                    <a:xfrm>
                      <a:off x="0" y="0"/>
                      <a:ext cx="5760085" cy="106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处理：字服务配置文件中的jiuqi.nvwa.headers.referer参数项目上配上主服务的地址或测试环境注释该参数</w:t>
      </w:r>
    </w:p>
    <w:p>
      <w:pPr>
        <w:pStyle w:val="ablt93"/>
        <w:rPr/>
      </w:pPr>
      <w:r>
        <w:rPr>
          <w:b w:val="false"/>
          <w:i w:val="false"/>
          <w:strike w:val="false"/>
          <w:spacing w:val="0"/>
          <w:u w:val="none"/>
          <w:shd/>
        </w:rPr>
        <w:drawing>
          <wp:inline distT="0" distB="0" distL="0" distR="0">
            <wp:extent cx="5760085" cy="456425"/>
            <wp:effectExtent l="0" t="0" r="0" b="0"/>
            <wp:docPr id="9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3" name="picture" descr="descript"/>
                    <pic:cNvPicPr/>
                  </pic:nvPicPr>
                  <pic:blipFill rotWithShape="true">
                    <a:blip r:embed="rId33"/>
                    <a:stretch/>
                  </pic:blipFill>
                  <pic:spPr>
                    <a:xfrm>
                      <a:off x="0" y="0"/>
                      <a:ext cx="5760085" cy="4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1">
      <w:start w:val="1"/>
      <w:numFmt w:val="lowerLetter"/>
      <w:lvlText w:val="%2."/>
      <w:lvlJc w:val="left"/>
      <w:pPr>
        <w:ind w:left="1198" w:hanging="336"/>
      </w:pPr>
    </w:lvl>
    <w:lvl w:ilvl="3">
      <w:start w:val="1"/>
      <w:numFmt w:val="decimal"/>
      <w:lvlText w:val="%4."/>
      <w:lvlJc w:val="left"/>
      <w:pPr>
        <w:ind w:left="2078" w:hanging="336"/>
      </w:pPr>
    </w:lvl>
    <w:lvl w:ilvl="8">
      <w:start w:val="1"/>
      <w:numFmt w:val="lowerRoman"/>
      <w:lvlText w:val="%9."/>
      <w:lvlJc w:val="left"/>
      <w:pPr>
        <w:ind w:left="4278" w:hanging="336"/>
      </w:pPr>
    </w:lvl>
    <w:lvl w:ilvl="4">
      <w:start w:val="1"/>
      <w:numFmt w:val="lowerLetter"/>
      <w:lvlText w:val="%5."/>
      <w:lvlJc w:val="left"/>
      <w:pPr>
        <w:ind w:left="2518" w:hanging="336"/>
      </w:pPr>
    </w:lvl>
    <w:lvl w:ilvl="0">
      <w:start w:val="1"/>
      <w:numFmt w:val="decimal"/>
      <w:lvlText w:val="%1."/>
      <w:lvlJc w:val="left"/>
      <w:pPr>
        <w:ind w:left="758" w:hanging="336"/>
      </w:pPr>
      <w:rPr/>
    </w:lvl>
    <w:lvl w:ilvl="5">
      <w:start w:val="1"/>
      <w:numFmt w:val="lowerRoman"/>
      <w:lvlText w:val="%6."/>
      <w:lvlJc w:val="left"/>
      <w:pPr>
        <w:ind w:left="2958" w:hanging="336"/>
      </w:pPr>
    </w:lvl>
    <w:lvl w:ilvl="2">
      <w:start w:val="1"/>
      <w:numFmt w:val="lowerRoman"/>
      <w:lvlText w:val="%3."/>
      <w:lvlJc w:val="left"/>
      <w:pPr>
        <w:ind w:left="1638" w:hanging="336"/>
      </w:pPr>
    </w:lvl>
    <w:lvl w:ilvl="6">
      <w:start w:val="1"/>
      <w:numFmt w:val="decimal"/>
      <w:lvlText w:val="%7."/>
      <w:lvlJc w:val="left"/>
      <w:pPr>
        <w:ind w:left="3398" w:hanging="336"/>
      </w:pPr>
    </w:lvl>
    <w:lvl w:ilvl="7">
      <w:start w:val="1"/>
      <w:numFmt w:val="lowerLetter"/>
      <w:lvlText w:val="%8."/>
      <w:lvlJc w:val="left"/>
      <w:pPr>
        <w:ind w:left="3838" w:hanging="336"/>
      </w:pPr>
    </w:lvl>
  </w:abstractNum>
  <w:abstractNum w:abstractNumId="2">
    <w:lvl w:ilvl="8">
      <w:start w:val="1"/>
      <w:numFmt w:val="lowerLetter"/>
      <w:lvlText w:val="%9)"/>
      <w:lvlJc w:val="left"/>
      <w:pPr>
        <w:ind w:left="3856" w:hanging="336"/>
      </w:pPr>
      <w:rPr>
        <w:rFonts/>
      </w:rPr>
    </w:lvl>
    <w:lvl w:ilvl="6">
      <w:start w:val="1"/>
      <w:numFmt w:val="chineseCountingThousand"/>
      <w:lvlText w:val="%7、"/>
      <w:lvlJc w:val="left"/>
      <w:pPr>
        <w:ind w:left="3102" w:hanging="462"/>
      </w:pPr>
      <w:rPr>
        <w:rFonts/>
      </w:rPr>
    </w:lvl>
    <w:lvl w:ilvl="7">
      <w:start w:val="1"/>
      <w:numFmt w:val="decimal"/>
      <w:lvlText w:val="%8、"/>
      <w:lvlJc w:val="left"/>
      <w:pPr>
        <w:ind w:left="3416" w:hanging="336"/>
      </w:pPr>
      <w:rPr>
        <w:rFonts/>
      </w:rPr>
    </w:lvl>
    <w:lvl w:ilvl="1">
      <w:start w:val="1"/>
      <w:numFmt w:val="decimal"/>
      <w:lvlText w:val="%2、"/>
      <w:lvlJc w:val="left"/>
      <w:pPr>
        <w:ind w:left="776" w:hanging="336"/>
      </w:pPr>
      <w:rPr>
        <w:rFonts/>
      </w:rPr>
    </w:lvl>
    <w:lvl w:ilvl="4">
      <w:start w:val="1"/>
      <w:numFmt w:val="decimal"/>
      <w:lvlText w:val="%5、"/>
      <w:lvlJc w:val="left"/>
      <w:pPr>
        <w:ind w:left="2096" w:hanging="336"/>
      </w:pPr>
      <w:rPr>
        <w:rFonts/>
      </w:rPr>
    </w:lvl>
    <w:lvl w:ilvl="0">
      <w:start w:val="3"/>
      <w:numFmt w:val="chineseCountingThousand"/>
      <w:lvlText w:val="%1、"/>
      <w:lvlJc w:val="left"/>
      <w:pPr>
        <w:ind w:left="462" w:hanging="462"/>
      </w:pPr>
      <w:rPr>
        <w:rFonts/>
      </w:rPr>
    </w:lvl>
    <w:lvl w:ilvl="5">
      <w:start w:val="1"/>
      <w:numFmt w:val="lowerLetter"/>
      <w:lvlText w:val="%6)"/>
      <w:lvlJc w:val="left"/>
      <w:pPr>
        <w:ind w:left="2536" w:hanging="336"/>
      </w:pPr>
      <w:rPr>
        <w:rFonts/>
      </w:rPr>
    </w:lvl>
    <w:lvl w:ilvl="3">
      <w:start w:val="1"/>
      <w:numFmt w:val="chineseCountingThousand"/>
      <w:lvlText w:val="%4、"/>
      <w:lvlJc w:val="left"/>
      <w:pPr>
        <w:ind w:left="1782" w:hanging="462"/>
      </w:pPr>
      <w:rPr>
        <w:rFonts/>
      </w:rPr>
    </w:lvl>
    <w:lvl w:ilvl="2">
      <w:start w:val="1"/>
      <w:numFmt w:val="lowerLetter"/>
      <w:lvlText w:val="%3)"/>
      <w:lvlJc w:val="left"/>
      <w:pPr>
        <w:ind w:left="1216" w:hanging="336"/>
      </w:pPr>
      <w:rPr>
        <w:rFonts/>
      </w:rPr>
    </w:lvl>
  </w:abstractNum>
  <w:abstractNum w:abstractNumId="3">
    <w:lvl w:ilvl="8">
      <w:start w:val="1"/>
      <w:numFmt w:val="lowerRoman"/>
      <w:lvlText w:val="%9."/>
      <w:lvlJc w:val="left"/>
      <w:pPr>
        <w:ind w:left="385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1">
      <w:start w:val="1"/>
      <w:numFmt w:val="lowerLetter"/>
      <w:lvlText w:val="%2."/>
      <w:lvlJc w:val="left"/>
      <w:pPr>
        <w:ind w:left="7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</w:abstractNum>
  <w:abstractNum w:abstractNumId="4">
    <w:lvl w:ilvl="0">
      <w:start w:val="1"/>
      <w:numFmt w:val="decimal"/>
      <w:lvlText w:val="%1."/>
      <w:lvlJc w:val="left"/>
      <w:pPr>
        <w:ind w:left="336" w:hanging="336"/>
      </w:pPr>
      <w:rPr>
        <w:rFonts/>
      </w:rPr>
    </w:lvl>
    <w:lvl w:ilvl="2">
      <w:start w:val="1"/>
      <w:numFmt w:val="lowerRoman"/>
      <w:lvlText w:val="%3."/>
      <w:lvlJc w:val="left"/>
      <w:pPr>
        <w:ind w:left="1216" w:hanging="336"/>
      </w:pPr>
      <w:rPr>
        <w:rFonts/>
      </w:rPr>
    </w:lvl>
    <w:lvl w:ilvl="3">
      <w:start w:val="1"/>
      <w:numFmt w:val="decimal"/>
      <w:lvlText w:val="%4."/>
      <w:lvlJc w:val="left"/>
      <w:pPr>
        <w:ind w:left="1656" w:hanging="336"/>
      </w:pPr>
      <w:rPr>
        <w:rFonts/>
      </w:rPr>
    </w:lvl>
    <w:lvl w:ilvl="8">
      <w:start w:val="1"/>
      <w:numFmt w:val="lowerRoman"/>
      <w:lvlText w:val="%9."/>
      <w:lvlJc w:val="left"/>
      <w:pPr>
        <w:ind w:left="3856" w:hanging="336"/>
      </w:pPr>
      <w:rPr>
        <w:rFonts/>
      </w:rPr>
    </w:lvl>
    <w:lvl w:ilvl="6">
      <w:start w:val="1"/>
      <w:numFmt w:val="decimal"/>
      <w:lvlText w:val="%7."/>
      <w:lvlJc w:val="left"/>
      <w:pPr>
        <w:ind w:left="2976" w:hanging="336"/>
      </w:pPr>
      <w:rPr>
        <w:rFonts/>
      </w:rPr>
    </w:lvl>
    <w:lvl w:ilvl="5">
      <w:start w:val="1"/>
      <w:numFmt w:val="lowerRoman"/>
      <w:lvlText w:val="%6."/>
      <w:lvlJc w:val="left"/>
      <w:pPr>
        <w:ind w:left="2536" w:hanging="336"/>
      </w:pPr>
      <w:rPr>
        <w:rFonts/>
      </w:rPr>
    </w:lvl>
    <w:lvl w:ilvl="1">
      <w:start w:val="1"/>
      <w:numFmt w:val="lowerLetter"/>
      <w:lvlText w:val="%2."/>
      <w:lvlJc w:val="left"/>
      <w:pPr>
        <w:ind w:left="776" w:hanging="336"/>
      </w:pPr>
      <w:rPr>
        <w:rFonts/>
      </w:rPr>
    </w:lvl>
    <w:lvl w:ilvl="7">
      <w:start w:val="1"/>
      <w:numFmt w:val="lowerLetter"/>
      <w:lvlText w:val="%8."/>
      <w:lvlJc w:val="left"/>
      <w:pPr>
        <w:ind w:left="3416" w:hanging="336"/>
      </w:pPr>
      <w:rPr>
        <w:rFonts/>
      </w:rPr>
    </w:lvl>
    <w:lvl w:ilvl="4">
      <w:start w:val="1"/>
      <w:numFmt w:val="lowerLetter"/>
      <w:lvlText w:val="%5."/>
      <w:lvlJc w:val="left"/>
      <w:pPr>
        <w:ind w:left="2096" w:hanging="336"/>
      </w:pPr>
      <w:rPr>
        <w:rFonts/>
      </w:rPr>
    </w:lvl>
  </w:abstractNum>
  <w:abstractNum w:abstractNumId="5">
    <w:lvl w:ilvl="0">
      <w:start w:val="1"/>
      <w:numFmt w:val="decimal"/>
      <w:lvlText w:val="%1."/>
      <w:lvlJc w:val="left"/>
      <w:pPr>
        <w:ind w:left="758" w:hanging="336"/>
      </w:pPr>
      <w:rPr/>
    </w:lvl>
    <w:lvl w:ilvl="3">
      <w:start w:val="1"/>
      <w:numFmt w:val="decimal"/>
      <w:lvlText w:val="%4."/>
      <w:lvlJc w:val="left"/>
      <w:pPr>
        <w:ind w:left="2078" w:hanging="336"/>
      </w:pPr>
    </w:lvl>
    <w:lvl w:ilvl="5">
      <w:start w:val="1"/>
      <w:numFmt w:val="lowerRoman"/>
      <w:lvlText w:val="%6."/>
      <w:lvlJc w:val="left"/>
      <w:pPr>
        <w:ind w:left="2958" w:hanging="336"/>
      </w:pPr>
    </w:lvl>
    <w:lvl w:ilvl="4">
      <w:start w:val="1"/>
      <w:numFmt w:val="lowerLetter"/>
      <w:lvlText w:val="%5."/>
      <w:lvlJc w:val="left"/>
      <w:pPr>
        <w:ind w:left="2518" w:hanging="336"/>
      </w:pPr>
    </w:lvl>
    <w:lvl w:ilvl="1">
      <w:start w:val="1"/>
      <w:numFmt w:val="lowerLetter"/>
      <w:lvlText w:val="%2."/>
      <w:lvlJc w:val="left"/>
      <w:pPr>
        <w:ind w:left="1198" w:hanging="336"/>
      </w:pPr>
    </w:lvl>
    <w:lvl w:ilvl="8">
      <w:start w:val="1"/>
      <w:numFmt w:val="lowerRoman"/>
      <w:lvlText w:val="%9."/>
      <w:lvlJc w:val="left"/>
      <w:pPr>
        <w:ind w:left="4278" w:hanging="336"/>
      </w:pPr>
    </w:lvl>
    <w:lvl w:ilvl="6">
      <w:start w:val="1"/>
      <w:numFmt w:val="decimal"/>
      <w:lvlText w:val="%7."/>
      <w:lvlJc w:val="left"/>
      <w:pPr>
        <w:ind w:left="3398" w:hanging="336"/>
      </w:pPr>
    </w:lvl>
    <w:lvl w:ilvl="2">
      <w:start w:val="1"/>
      <w:numFmt w:val="lowerRoman"/>
      <w:lvlText w:val="%3."/>
      <w:lvlJc w:val="left"/>
      <w:pPr>
        <w:ind w:left="1638" w:hanging="336"/>
      </w:pPr>
    </w:lvl>
    <w:lvl w:ilvl="7">
      <w:start w:val="1"/>
      <w:numFmt w:val="lowerLetter"/>
      <w:lvlText w:val="%8."/>
      <w:lvlJc w:val="left"/>
      <w:pPr>
        <w:ind w:left="3838" w:hanging="336"/>
      </w:pPr>
    </w:lvl>
  </w:abstractNum>
  <w:abstractNum w:abstractNumId="6">
    <w:lvl w:ilvl="4">
      <w:start w:val="1"/>
      <w:numFmt w:val="decimal"/>
      <w:lvlText w:val="%5、"/>
      <w:lvlJc w:val="left"/>
      <w:pPr>
        <w:ind w:left="2096" w:hanging="336"/>
      </w:pPr>
    </w:lvl>
    <w:lvl w:ilvl="3">
      <w:start w:val="1"/>
      <w:numFmt w:val="chineseCountingThousand"/>
      <w:lvlText w:val="%4、"/>
      <w:lvlJc w:val="left"/>
      <w:pPr>
        <w:ind w:left="1782" w:hanging="462"/>
      </w:pPr>
    </w:lvl>
    <w:lvl w:ilvl="1">
      <w:start w:val="1"/>
      <w:numFmt w:val="decimal"/>
      <w:lvlText w:val="%2、"/>
      <w:lvlJc w:val="left"/>
      <w:pPr>
        <w:ind w:left="776" w:hanging="336"/>
      </w:pPr>
    </w:lvl>
    <w:lvl w:ilvl="5">
      <w:start w:val="1"/>
      <w:numFmt w:val="lowerLetter"/>
      <w:lvlText w:val="%6)"/>
      <w:lvlJc w:val="left"/>
      <w:pPr>
        <w:ind w:left="2536" w:hanging="336"/>
      </w:pPr>
    </w:lvl>
    <w:lvl w:ilvl="6">
      <w:start w:val="1"/>
      <w:numFmt w:val="chineseCountingThousand"/>
      <w:lvlText w:val="%7、"/>
      <w:lvlJc w:val="left"/>
      <w:pPr>
        <w:ind w:left="3102" w:hanging="462"/>
      </w:pPr>
    </w:lvl>
    <w:lvl w:ilvl="0">
      <w:start w:val="1"/>
      <w:numFmt w:val="chineseCountingThousand"/>
      <w:lvlText w:val="%1、"/>
      <w:lvlJc w:val="left"/>
      <w:pPr>
        <w:ind w:left="462" w:hanging="462"/>
      </w:pPr>
      <w:rPr/>
    </w:lvl>
    <w:lvl w:ilvl="2">
      <w:start w:val="1"/>
      <w:numFmt w:val="lowerLetter"/>
      <w:lvlText w:val="%3)"/>
      <w:lvlJc w:val="left"/>
      <w:pPr>
        <w:ind w:left="1216" w:hanging="336"/>
      </w:pPr>
    </w:lvl>
    <w:lvl w:ilvl="8">
      <w:start w:val="1"/>
      <w:numFmt w:val="lowerLetter"/>
      <w:lvlText w:val="%9)"/>
      <w:lvlJc w:val="left"/>
      <w:pPr>
        <w:ind w:left="3856" w:hanging="336"/>
      </w:pPr>
    </w:lvl>
    <w:lvl w:ilvl="7">
      <w:start w:val="1"/>
      <w:numFmt w:val="decimal"/>
      <w:lvlText w:val="%8、"/>
      <w:lvlJc w:val="left"/>
      <w:pPr>
        <w:ind w:left="3416" w:hanging="336"/>
      </w:pPr>
    </w:lvl>
  </w:abstractNum>
  <w:abstractNum w:abstractNumId="7">
    <w:lvl w:ilvl="1">
      <w:start w:val="1"/>
      <w:numFmt w:val="lowerLetter"/>
      <w:lvlText w:val="%2."/>
      <w:lvlJc w:val="left"/>
      <w:pPr>
        <w:ind w:left="1198" w:hanging="336"/>
      </w:pPr>
    </w:lvl>
    <w:lvl w:ilvl="4">
      <w:start w:val="1"/>
      <w:numFmt w:val="lowerLetter"/>
      <w:lvlText w:val="%5."/>
      <w:lvlJc w:val="left"/>
      <w:pPr>
        <w:ind w:left="2518" w:hanging="336"/>
      </w:pPr>
    </w:lvl>
    <w:lvl w:ilvl="0">
      <w:start w:val="1"/>
      <w:numFmt w:val="decimal"/>
      <w:lvlText w:val="%1."/>
      <w:lvlJc w:val="left"/>
      <w:pPr>
        <w:ind w:left="758" w:hanging="336"/>
      </w:pPr>
      <w:rPr/>
    </w:lvl>
    <w:lvl w:ilvl="7">
      <w:start w:val="1"/>
      <w:numFmt w:val="lowerLetter"/>
      <w:lvlText w:val="%8."/>
      <w:lvlJc w:val="left"/>
      <w:pPr>
        <w:ind w:left="3838" w:hanging="336"/>
      </w:pPr>
    </w:lvl>
    <w:lvl w:ilvl="6">
      <w:start w:val="1"/>
      <w:numFmt w:val="decimal"/>
      <w:lvlText w:val="%7."/>
      <w:lvlJc w:val="left"/>
      <w:pPr>
        <w:ind w:left="3398" w:hanging="336"/>
      </w:pPr>
    </w:lvl>
    <w:lvl w:ilvl="3">
      <w:start w:val="1"/>
      <w:numFmt w:val="decimal"/>
      <w:lvlText w:val="%4."/>
      <w:lvlJc w:val="left"/>
      <w:pPr>
        <w:ind w:left="2078" w:hanging="336"/>
      </w:pPr>
    </w:lvl>
    <w:lvl w:ilvl="2">
      <w:start w:val="1"/>
      <w:numFmt w:val="lowerRoman"/>
      <w:lvlText w:val="%3."/>
      <w:lvlJc w:val="left"/>
      <w:pPr>
        <w:ind w:left="1638" w:hanging="336"/>
      </w:pPr>
    </w:lvl>
    <w:lvl w:ilvl="8">
      <w:start w:val="1"/>
      <w:numFmt w:val="lowerRoman"/>
      <w:lvlText w:val="%9."/>
      <w:lvlJc w:val="left"/>
      <w:pPr>
        <w:ind w:left="4278" w:hanging="336"/>
      </w:pPr>
    </w:lvl>
    <w:lvl w:ilvl="5">
      <w:start w:val="1"/>
      <w:numFmt w:val="lowerRoman"/>
      <w:lvlText w:val="%6."/>
      <w:lvlJc w:val="left"/>
      <w:pPr>
        <w:ind w:left="2958" w:hanging="336"/>
      </w:pPr>
    </w:lvl>
  </w:abstractNum>
  <w:abstractNum w:abstractNumId="8">
    <w:lvl w:ilvl="1">
      <w:start w:val="1"/>
      <w:numFmt w:val="lowerLetter"/>
      <w:lvlText w:val="%2."/>
      <w:lvlJc w:val="left"/>
      <w:pPr>
        <w:ind w:left="1198" w:hanging="336"/>
      </w:pPr>
    </w:lvl>
    <w:lvl w:ilvl="0">
      <w:start w:val="1"/>
      <w:numFmt w:val="decimal"/>
      <w:lvlText w:val="%1."/>
      <w:lvlJc w:val="left"/>
      <w:pPr>
        <w:ind w:left="758" w:hanging="336"/>
      </w:pPr>
      <w:rPr/>
    </w:lvl>
    <w:lvl w:ilvl="8">
      <w:start w:val="1"/>
      <w:numFmt w:val="lowerRoman"/>
      <w:lvlText w:val="%9."/>
      <w:lvlJc w:val="left"/>
      <w:pPr>
        <w:ind w:left="4278" w:hanging="336"/>
      </w:pPr>
    </w:lvl>
    <w:lvl w:ilvl="3">
      <w:start w:val="1"/>
      <w:numFmt w:val="decimal"/>
      <w:lvlText w:val="%4."/>
      <w:lvlJc w:val="left"/>
      <w:pPr>
        <w:ind w:left="2078" w:hanging="336"/>
      </w:pPr>
    </w:lvl>
    <w:lvl w:ilvl="5">
      <w:start w:val="1"/>
      <w:numFmt w:val="lowerRoman"/>
      <w:lvlText w:val="%6."/>
      <w:lvlJc w:val="left"/>
      <w:pPr>
        <w:ind w:left="2958" w:hanging="336"/>
      </w:pPr>
    </w:lvl>
    <w:lvl w:ilvl="6">
      <w:start w:val="1"/>
      <w:numFmt w:val="decimal"/>
      <w:lvlText w:val="%7."/>
      <w:lvlJc w:val="left"/>
      <w:pPr>
        <w:ind w:left="3398" w:hanging="336"/>
      </w:pPr>
    </w:lvl>
    <w:lvl w:ilvl="7">
      <w:start w:val="1"/>
      <w:numFmt w:val="lowerLetter"/>
      <w:lvlText w:val="%8."/>
      <w:lvlJc w:val="left"/>
      <w:pPr>
        <w:ind w:left="3838" w:hanging="336"/>
      </w:pPr>
    </w:lvl>
    <w:lvl w:ilvl="4">
      <w:start w:val="1"/>
      <w:numFmt w:val="lowerLetter"/>
      <w:lvlText w:val="%5."/>
      <w:lvlJc w:val="left"/>
      <w:pPr>
        <w:ind w:left="2518" w:hanging="336"/>
      </w:pPr>
    </w:lvl>
    <w:lvl w:ilvl="2">
      <w:start w:val="1"/>
      <w:numFmt w:val="lowerRoman"/>
      <w:lvlText w:val="%3."/>
      <w:lvlJc w:val="left"/>
      <w:pPr>
        <w:ind w:left="1638" w:hanging="336"/>
      </w:pPr>
    </w:lvl>
  </w:abstractNum>
  <w:abstractNum w:abstractNumId="9">
    <w:lvl w:ilvl="3">
      <w:start w:val="1"/>
      <w:numFmt w:val="decimal"/>
      <w:lvlText w:val="%1.%2.%3.%4."/>
      <w:lvlJc w:val="left"/>
      <w:pPr>
        <w:ind w:left="2160" w:hanging="840"/>
      </w:pPr>
    </w:lvl>
    <w:lvl w:ilvl="6">
      <w:start w:val="1"/>
      <w:numFmt w:val="decimal"/>
      <w:lvlText w:val="%1.%2.%3.%4.%5.%6.%7."/>
      <w:lvlJc w:val="left"/>
      <w:pPr>
        <w:ind w:left="3984" w:hanging="1344"/>
      </w:pPr>
    </w:lvl>
    <w:lvl w:ilvl="4">
      <w:start w:val="1"/>
      <w:numFmt w:val="decimal"/>
      <w:lvlText w:val="%1.%2.%3.%4.%5."/>
      <w:lvlJc w:val="left"/>
      <w:pPr>
        <w:ind w:left="2768" w:hanging="1008"/>
      </w:pPr>
    </w:lvl>
    <w:lvl w:ilvl="7">
      <w:start w:val="1"/>
      <w:numFmt w:val="decimal"/>
      <w:lvlText w:val="%1.%2.%3.%4.%5.%6.%7.%8."/>
      <w:lvlJc w:val="left"/>
      <w:pPr>
        <w:ind w:left="4592" w:hanging="1512"/>
      </w:pPr>
    </w:lvl>
    <w:lvl w:ilvl="0">
      <w:start w:val="1"/>
      <w:numFmt w:val="decimal"/>
      <w:lvlText w:val="%1."/>
      <w:lvlJc w:val="left"/>
      <w:pPr>
        <w:ind w:left="336" w:hanging="336"/>
      </w:pPr>
      <w:rPr/>
    </w:lvl>
    <w:lvl w:ilvl="2">
      <w:start w:val="1"/>
      <w:numFmt w:val="decimal"/>
      <w:lvlText w:val="%1.%2.%3."/>
      <w:lvlJc w:val="left"/>
      <w:pPr>
        <w:ind w:left="1552" w:hanging="672"/>
      </w:pPr>
    </w:lvl>
    <w:lvl w:ilvl="1">
      <w:start w:val="1"/>
      <w:numFmt w:val="decimal"/>
      <w:lvlText w:val="%1.%2."/>
      <w:lvlJc w:val="left"/>
      <w:pPr>
        <w:ind w:left="944" w:hanging="504"/>
      </w:pPr>
    </w:lvl>
    <w:lvl w:ilvl="8">
      <w:start w:val="1"/>
      <w:numFmt w:val="decimal"/>
      <w:lvlText w:val="%1.%2.%3.%4.%5.%6.%7.%8.%9."/>
      <w:lvlJc w:val="left"/>
      <w:pPr>
        <w:ind w:left="5200" w:hanging="1680"/>
      </w:pPr>
    </w:lvl>
    <w:lvl w:ilvl="5">
      <w:start w:val="1"/>
      <w:numFmt w:val="decimal"/>
      <w:lvlText w:val="%1.%2.%3.%4.%5.%6."/>
      <w:lvlJc w:val="left"/>
      <w:pPr>
        <w:ind w:left="3376" w:hanging="1176"/>
      </w:pPr>
    </w:lvl>
  </w:abstractNum>
  <w:num w:numId="4">
    <w:abstractNumId w:val="7"/>
  </w:num>
  <w:num w:numId="3">
    <w:abstractNumId w:val="5"/>
  </w:num>
  <w:num w:numId="6">
    <w:abstractNumId w:val="1"/>
  </w:num>
  <w:num w:numId="5">
    <w:abstractNumId w:val="4"/>
  </w:num>
  <w:num w:numId="2">
    <w:abstractNumId w:val="3"/>
  </w:num>
  <w:num w:numId="8">
    <w:abstractNumId w:val="2"/>
  </w:num>
  <w:num w:numId="7">
    <w:abstractNumId w:val="8"/>
  </w:num>
  <w:num w:numId="1">
    <w:abstractNumId w:val="6"/>
  </w:num>
  <w:num w:numId="9">
    <w:abstractNumId w:val="9"/>
  </w:num>
</w:numbering>
</file>

<file path=word/settings.xml><?xml version="1.0" encoding="utf-8"?>
<w:settings xmlns:w14="http://schemas.microsoft.com/office/word/2010/wordml" xmlns:w15="http://schemas.microsoft.com/office/word/2012/wordml" xmlns:w="http://schemas.openxmlformats.org/wordprocessingml/2006/main" xmlns:m="http://schemas.openxmlformats.org/officeDocument/2006/math" xmlns:mc="http://schemas.openxmlformats.org/markup-compatibility/2006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enableOpenTypeFeatures" w:uri="http://schemas.microsoft.com/office/word" w:val="1"/>
    <w:compatSetting w:name="compatibilityMode" w:uri="http://schemas.microsoft.com/office/word" w:val="15"/>
    <w:compatSetting w:name="useWord2013TrackBottomHyphenation" w:uri="http://schemas.microsoft.com/office/word" w:val="0"/>
    <w:compatSetting w:name="doNotFlipMirrorIndents" w:uri="http://schemas.microsoft.com/office/word" w:val="1"/>
    <w:compatSetting w:name="overrideTableStyleFontSizeAndJustification" w:uri="http://schemas.microsoft.com/office/word" w:val="1"/>
    <w:compatSetting w:name="differentiateMultirowTableHeader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styleId="jxpudn" w:default="true">
    <w:name w:val="Default Paragraph Font"/>
    <w:basedOn w:val=""/>
    <w:next w:val=""/>
    <w:uiPriority w:val="1"/>
    <w:semiHidden/>
    <w:unhideWhenUsed/>
  </w:style>
  <w:style w:type="paragraph" w:styleId="n53sx2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08qisf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mtvjpj">
    <w:name w:val="Sub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1"/>
    </w:pPr>
    <w:rPr>
      <w:b/>
      <w:bCs/>
      <w:color w:val="5C5C5C"/>
      <w:sz w:val="36"/>
      <w:szCs w:val="36"/>
    </w:rPr>
  </w:style>
  <w:style w:type="paragraph" w:styleId="93v5z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qdqyfd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7vhwiy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ablt93" w:default="true">
    <w:name w:val="Normal"/>
    <w:pPr>
      <w:widowControl w:val="false"/>
      <w:jc w:val="left"/>
    </w:pPr>
  </w:style>
  <w:style w:type="character" w:styleId="vz4hqn">
    <w:name w:val="Hyperlink"/>
    <w:basedOn w:val=""/>
    <w:next w:val=""/>
    <w:uiPriority w:val="99"/>
    <w:unhideWhenUsed/>
    <w:pPr/>
    <w:rPr>
      <w:color w:val="1E6FFF" w:themeColor="hyperlink"/>
      <w:u w:val="single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6.png" /><Relationship Id="rId8" Type="http://schemas.openxmlformats.org/officeDocument/2006/relationships/image" Target="media/image5.png" /><Relationship Id="rId6" Type="http://schemas.openxmlformats.org/officeDocument/2006/relationships/image" Target="media/image3.png" /><Relationship Id="rId32" Type="http://schemas.openxmlformats.org/officeDocument/2006/relationships/image" Target="media/image29.png" /><Relationship Id="rId4" Type="http://schemas.openxmlformats.org/officeDocument/2006/relationships/image" Target="media/image1.png" /><Relationship Id="rId31" Type="http://schemas.openxmlformats.org/officeDocument/2006/relationships/image" Target="media/image28.png" /><Relationship Id="rId30" Type="http://schemas.openxmlformats.org/officeDocument/2006/relationships/image" Target="media/image27.png" /><Relationship Id="rId3" Type="http://schemas.openxmlformats.org/officeDocument/2006/relationships/numbering" Target="numbering.xml" /><Relationship Id="rId7" Type="http://schemas.openxmlformats.org/officeDocument/2006/relationships/image" Target="media/image4.png" /><Relationship Id="rId33" Type="http://schemas.openxmlformats.org/officeDocument/2006/relationships/image" Target="media/image30.png" /><Relationship Id="rId28" Type="http://schemas.openxmlformats.org/officeDocument/2006/relationships/image" Target="media/image25.png" /><Relationship Id="rId27" Type="http://schemas.openxmlformats.org/officeDocument/2006/relationships/image" Target="media/image24.png" /><Relationship Id="rId23" Type="http://schemas.openxmlformats.org/officeDocument/2006/relationships/image" Target="media/image20.png" /><Relationship Id="rId25" Type="http://schemas.openxmlformats.org/officeDocument/2006/relationships/image" Target="media/image22.png" /><Relationship Id="rId13" Type="http://schemas.openxmlformats.org/officeDocument/2006/relationships/image" Target="media/image10.png" /><Relationship Id="rId10" Type="http://schemas.openxmlformats.org/officeDocument/2006/relationships/image" Target="media/image7.png" /><Relationship Id="rId24" Type="http://schemas.openxmlformats.org/officeDocument/2006/relationships/image" Target="media/image21.png" /><Relationship Id="rId14" Type="http://schemas.openxmlformats.org/officeDocument/2006/relationships/image" Target="media/image11.png" /><Relationship Id="rId12" Type="http://schemas.openxmlformats.org/officeDocument/2006/relationships/image" Target="media/image9.png" /><Relationship Id="rId15" Type="http://schemas.openxmlformats.org/officeDocument/2006/relationships/image" Target="media/image12.png" /><Relationship Id="rId11" Type="http://schemas.openxmlformats.org/officeDocument/2006/relationships/image" Target="media/image8.png" /><Relationship Id="rId1" Type="http://schemas.openxmlformats.org/officeDocument/2006/relationships/settings" Target="settings.xml" /><Relationship Id="rId26" Type="http://schemas.openxmlformats.org/officeDocument/2006/relationships/image" Target="media/image23.png" /><Relationship Id="rId17" Type="http://schemas.openxmlformats.org/officeDocument/2006/relationships/image" Target="media/image14.png" /><Relationship Id="rId29" Type="http://schemas.openxmlformats.org/officeDocument/2006/relationships/image" Target="media/image26.png" /><Relationship Id="rId18" Type="http://schemas.openxmlformats.org/officeDocument/2006/relationships/image" Target="media/image15.png" /><Relationship Id="rId5" Type="http://schemas.openxmlformats.org/officeDocument/2006/relationships/image" Target="media/image2.png" /><Relationship Id="rId2" Type="http://schemas.openxmlformats.org/officeDocument/2006/relationships/fontTable" Target="fontTable.xml" /><Relationship Id="rId19" Type="http://schemas.openxmlformats.org/officeDocument/2006/relationships/image" Target="media/image16.png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0" Type="http://schemas.openxmlformats.org/officeDocument/2006/relationships/styles" Target="styles.xml" /><Relationship Id="rId22" Type="http://schemas.openxmlformats.org/officeDocument/2006/relationships/image" Target="media/image19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2025-10-13T11:56:56Z</dcterms:created>
  <dcterms:modified xsi:type="dcterms:W3CDTF">2025-10-13T11:56:56Z</dcterms:modified>
</cp:coreProperties>
</file>