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E题三模态选择性情感预测方法与服务器迁移说明</w:t>
      </w:r>
    </w:p>
    <w:p>
      <w:pPr>
        <w:jc w:val="center"/>
      </w:pPr>
      <w:r>
        <w:rPr>
          <w:i/>
        </w:rPr>
        <w:t>基于 Visual-Selective-VIO 思想的比赛实现说明</w:t>
      </w:r>
    </w:p>
    <w:p>
      <w:pPr>
        <w:spacing w:line="276" w:lineRule="auto" w:after="120"/>
      </w:pPr>
      <w:r>
        <w:t>本文说明当前工作区已经实现并运行过的 E 题方法，便于队伍成员理解模型、撰写论文以及把代码迁移到 Linux 或 GPU 服务器上继续训练。维度和路径以当前代码为准；若修改模型配置，需要同步更新检查点和结果。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当前值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代码目录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E题/selective_sentiment/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数据版本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附件2 aligned_50.pkl；对齐版，序列上限50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训练/验证/测试样本数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3395 / 728 / 727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默认门控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soft（三模态独立软门控）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当前最佳检查点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outputs/best.pt，训练第4轮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已实测测试集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Accuracy 0.6768；Macro-F1 0.6209；MAE 0.6478；Pearson 0.6637</w:t>
            </w:r>
          </w:p>
        </w:tc>
      </w:tr>
    </w:tbl>
    <w:p>
      <w:pPr>
        <w:spacing w:after="20"/>
      </w:pPr>
    </w:p>
    <w:p>
      <w:pPr>
        <w:pStyle w:val="Heading1"/>
      </w:pPr>
      <w:r>
        <w:t>一 方法总览</w:t>
      </w:r>
    </w:p>
    <w:p>
      <w:pPr>
        <w:spacing w:line="276" w:lineRule="auto" w:after="120"/>
      </w:pPr>
      <w:r>
        <w:t>方法继承母本论文“当前模态信息与历史状态共同决定是否使用某个模态，再进行时序融合”的思路，但把原来的视觉/IMU位姿回归改造成文本、语音、视觉三模态情感预测。整体流程分为问题1的特征与时间组织、问题2的缺失感知预测、问题3的干预式解释三部分。</w:t>
      </w:r>
    </w:p>
    <w:p>
      <w:pPr>
        <w:ind w:left="360"/>
      </w:pPr>
      <w:r>
        <w:rPr>
          <w:rFonts w:ascii="Consolas" w:hAnsi="Consolas"/>
          <w:sz w:val="18"/>
        </w:rPr>
        <w:t>输入样本 → 文本/语音/视觉特征 → 可用性掩码 → 三模态门控 → 循环时序融合 → 序列聚合 → 分类头 + 回归头</w:t>
      </w:r>
    </w:p>
    <w:p>
      <w:pPr>
        <w:pStyle w:val="Heading1"/>
      </w:pPr>
      <w:r>
        <w:t>二 架构结构与输入输出</w:t>
      </w:r>
    </w:p>
    <w:p>
      <w:pPr>
        <w:pStyle w:val="Heading2"/>
      </w:pPr>
      <w:r>
        <w:t>2.1 问题1 原始视频特征与对齐</w:t>
      </w:r>
    </w:p>
    <w:p>
      <w:pPr>
        <w:spacing w:line="276" w:lineRule="auto" w:after="120"/>
      </w:pPr>
      <w:r>
        <w:t>问题1负责把100条原始视频整理成可核验的多模态时序特征，不把这100条样本再混入附件2训练集。文本使用题目给定转写；音频统一解码为16 kHz单声道；视频读取帧率、时长和人脸区域。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输入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处理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输出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文本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英文转写文本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BERT WordPiece，最多50个位置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token id、attention mask、字符偏移；BERT最后层50×768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语音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16 kHz波形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Wav2Vec2 CTC逐帧发射与转写强制对齐；按词元区间均值聚合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50×32声学特征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视觉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MP4视频帧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面部区域或整帧的灰度、DCT、HSV、位置、光流统计；按同一时间区间聚合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50×35视觉特征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对齐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单词时间区间与WordPiece字符偏移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将语音、视觉帧映射到WordPiece位置；特殊词元和padding置零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valid掩码50；每位置起止秒数</w:t>
            </w:r>
          </w:p>
        </w:tc>
      </w:tr>
    </w:tbl>
    <w:p>
      <w:pPr>
        <w:spacing w:after="20"/>
      </w:pPr>
    </w:p>
    <w:p>
      <w:pPr>
        <w:spacing w:line="276" w:lineRule="auto" w:after="120"/>
      </w:pPr>
      <w:r>
        <w:t>问题1自生成的声学32维和视觉35维是快速、可解释的代理特征，不能声称与附件2原始74维/35维特征完全同分布。特征、有效掩码、时间区间和处理状态保存在 outputs/q1。</w:t>
      </w:r>
    </w:p>
    <w:p>
      <w:pPr>
        <w:pStyle w:val="Heading2"/>
      </w:pPr>
      <w:r>
        <w:t>2.2 问题2和问题3预测主干</w:t>
      </w:r>
    </w:p>
    <w:p>
      <w:pPr>
        <w:spacing w:line="276" w:lineRule="auto" w:after="120"/>
      </w:pPr>
      <w:r>
        <w:t>训练和专项预测统一使用附件2对齐版接口。附件2与附件3部分文件缺少连续文本特征，因此代码统一读取 text_bert 的词元编号、注意力掩码和分段编号，再通过同一份冻结BERT生成文本序列表示。音频和视觉直接读取题目提供的特征。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输入形状（单样本）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输出形状（单样本）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含义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文本编码器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3×50（token id、attention mask、type id）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50×768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每个WordPiece位置的BERT表示；BERT不参与情感任务反向更新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语音输入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50×74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50×74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附件2声学序列；按训练集有效位置统计标准化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视觉输入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50×35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50×35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附件2视觉序列；按训练集有效位置统计标准化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可用性接口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valid：50；availability：50×3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50×3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padding/真实位置以及文本、语音、视觉是否可观测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三路适配器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50×768、50×74、50×35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三路50×96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将不同模态转换到同一门控接口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门控策略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当前位置三模态表示、三路可用性、历史状态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50×3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文本、语音、视觉各一个保留强度；不可用模态强制为0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循环融合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每位置门控特征与可用性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50个时序状态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处理跨位置上下文；padding位置保持上一状态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序列聚合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50个时序状态与valid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一个片段级表示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只在有效位置上加权聚合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分类头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片段级表示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3个logits和3个概率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Negative、Neutral、Positive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回归头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片段级表示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1个标量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情感强度，范围[-3,3]</w:t>
            </w:r>
          </w:p>
        </w:tc>
      </w:tr>
    </w:tbl>
    <w:p>
      <w:pPr>
        <w:spacing w:after="20"/>
      </w:pPr>
    </w:p>
    <w:p>
      <w:pPr>
        <w:spacing w:line="276" w:lineRule="auto" w:after="120"/>
      </w:pPr>
      <w:r>
        <w:t>批量输入在最前面增加批量维B，例如文本B×50×768、语音B×50×74、视觉B×50×35；预测输出为B×3分类logits、B×3分类概率和B个强度值。</w:t>
      </w:r>
    </w:p>
    <w:p>
      <w:pPr>
        <w:pStyle w:val="Heading2"/>
      </w:pPr>
      <w:r>
        <w:t>2.3 缺失训练与专项推理</w:t>
      </w:r>
    </w:p>
    <w:p>
      <w:pPr>
        <w:spacing w:line="276" w:lineRule="auto" w:after="120"/>
      </w:pPr>
      <w:r>
        <w:t>训练时在有效序列内随机选择一个或多个模态，并遮挡连续区间。文本在BERT编码之前遮挡，语音和视觉特征直接置零，同时更新availability。模型学习到某一模态不可用时依靠剩余模态和历史状态完成预测。</w:t>
      </w:r>
    </w:p>
    <w:p>
      <w:pPr>
        <w:spacing w:line="276" w:lineRule="auto" w:after="120"/>
      </w:pPr>
      <w:r>
        <w:t>附件3的30个对齐版文件用于问题2专项预测；附件4的20个对齐版文件用于问题3专项预测。专项集没有标签，只生成预测和解释文件，不计算专项准确率。</w:t>
      </w:r>
    </w:p>
    <w:p>
      <w:pPr>
        <w:pStyle w:val="Heading2"/>
      </w:pPr>
      <w:r>
        <w:t>2.4 问题3解释架构</w:t>
      </w:r>
    </w:p>
    <w:p>
      <w:pPr>
        <w:spacing w:line="276" w:lineRule="auto" w:after="120"/>
      </w:pPr>
      <w:r>
        <w:t>解释不是直接把门控值当成因果贡献，而是采用重新推理的遮挡干预。先得到完整输入预测，再分别遮挡文本、语音、视觉，比较目标类别概率和回归强度变化；然后对每个模态逐个遮挡连续4个位置的窗口，选择影响最大的窗口。</w:t>
      </w:r>
    </w:p>
    <w:p>
      <w:pPr>
        <w:ind w:left="360"/>
      </w:pPr>
      <w:r>
        <w:rPr>
          <w:rFonts w:ascii="Consolas" w:hAnsi="Consolas"/>
          <w:sz w:val="18"/>
        </w:rPr>
        <w:t>Δ(m,c) = p_c(完整输入) - p_c(遮挡模态m)</w:t>
        <w:br/>
        <w:t>Δ(m,y) = yhat(完整输入) - yhat(遮挡模态m)</w:t>
      </w:r>
    </w:p>
    <w:p>
      <w:pPr>
        <w:spacing w:line="276" w:lineRule="auto" w:after="120"/>
      </w:pPr>
      <w:r>
        <w:t>正值表示信息被移除后目标预测下降，通常可解释为支持；负值表示移除后目标预测上升，表示抑制。门控图、模态干预、局部窗口干预、词元区间和视频关键帧分别导出到 outputs/cards、outputs/q3_window_effects.csv、outputs/q3_alignment 和 outputs/keyframes。</w:t>
      </w:r>
    </w:p>
    <w:p>
      <w:pPr>
        <w:pStyle w:val="Heading1"/>
      </w:pPr>
      <w:r>
        <w:t>三 网络输入输出维度汇总</w:t>
      </w:r>
    </w:p>
    <w:p>
      <w:pPr>
        <w:spacing w:line="276" w:lineRule="auto" w:after="120"/>
      </w:pPr>
      <w:r>
        <w:t>下面只列数据接口和模块接口，不展开策略网络内部的中间层细节。当前检查点使用公共模态维度96和循环状态配置192；若服务器上修改这些配置，必须重新训练并重新生成best.pt。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对象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输入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输出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当前配置/备注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单条样本输入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text_bert 3×50；audio 50×74；vision 50×35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三模态可用性与valid掩码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对齐版，50为最大位置数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BERT文本编码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3×50整数张量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50×768浮点张量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冻结；不计入任务头参数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模态适配器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每位置768/74/35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每位置96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三路独立映射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门控模块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三路96维表示、可用性、历史状态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每位置3个门控值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文本/语音/视觉各一个；不可用位置为0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情感预测器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50位置序列及valid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3类概率和[-3,3]强度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片段级输出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解释器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完整输入与遮挡输入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模态差值、窗口差值、时间区间和关键帧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重新执行编码、门控和预测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训练批次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B×50×768、B×50×74、B×50×35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B×3 logits、B×3概率、B个强度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当前默认batch size 32</w:t>
            </w:r>
          </w:p>
        </w:tc>
      </w:tr>
    </w:tbl>
    <w:p>
      <w:pPr>
        <w:spacing w:after="20"/>
      </w:pPr>
    </w:p>
    <w:p>
      <w:pPr>
        <w:pStyle w:val="Heading1"/>
      </w:pPr>
      <w:r>
        <w:t>四 评价指标含义</w:t>
      </w:r>
    </w:p>
    <w:p>
      <w:pPr>
        <w:spacing w:line="276" w:lineRule="auto" w:after="120"/>
      </w:pPr>
      <w:r>
        <w:t>题目要求分类任务采用Accuracy、F1，回归任务采用MAE、Pearson。代码另外输出每类F1、加权F1和混淆矩阵，便于分析中性类别。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公式/定义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使用注意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Accuracy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正确分类数 / 样本总数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整体分类正确比例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类别不平衡时可能被多数类抬高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Precision_c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TP_c / (TP_c + FP_c)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预测为c的样本中有多少是真的c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关注误报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Recall_c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TP_c / (TP_c + FN_c)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真实c被识别出的比例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关注漏报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F1_c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2·Precision_c·Recall_c / (Precision_c + Recall_c)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Precision与Recall的调和平均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同时考虑误报和漏报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Macro-F1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三个类别F1的算术平均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每类同等重要的总体分类性能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当前主分类指标；Neutral单独报告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Weighted-F1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按各类真实样本数加权的F1平均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兼顾类别比例后的总体F1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受Positive多数类影响较大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mean(|y - yhat|)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预测强度与真实强度的平均绝对距离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越小越好，量纲与情感强度相同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Pearson r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cov(y,yhat)/(std(y)·std(yhat))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预测强度与真实强度的线性同向程度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范围[-1,1]，相关性高不等于误差小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混淆矩阵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真实类别×预测类别计数表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显示各类互相误判方向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行是真实，列是预测</w:t>
            </w:r>
          </w:p>
        </w:tc>
      </w:tr>
      <w:tr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缺失退化量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指标(完整) - 指标(缺失)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衡量局部缺失造成的性能损失</w:t>
            </w:r>
          </w:p>
        </w:tc>
        <w:tc>
          <w:tcPr>
            <w:tcW w:type="dxa" w:w="252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MAE差值、F1差值越接近0越稳健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门控使用率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有效位置上的平均门控值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模型内部选择行为的描述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不是官方性能指标，也不是因果贡献百分比</w:t>
            </w:r>
          </w:p>
        </w:tc>
      </w:tr>
    </w:tbl>
    <w:p>
      <w:pPr>
        <w:spacing w:after="20"/>
      </w:pPr>
    </w:p>
    <w:p>
      <w:pPr>
        <w:spacing w:line="276" w:lineRule="auto" w:after="120"/>
      </w:pPr>
      <w:r>
        <w:t>当前实测：验证集 Accuracy=0.6250、Macro-F1=0.5918、MAE=0.5963、Pearson=0.6543；测试集 Accuracy=0.6768、Macro-F1=0.6209、MAE=0.6478、Pearson=0.6637。测试集Neutral类F1为0.3986，低于Negative和Positive，论文中应单独说明中性边界较难。</w:t>
      </w:r>
    </w:p>
    <w:p>
      <w:pPr>
        <w:spacing w:line="276" w:lineRule="auto" w:after="120"/>
      </w:pPr>
      <w:r>
        <w:t>训练选择准则 J=(MAE_clean+MAE_missing)/2 + 0.15×(2-F1_clean-F1_missing)。它不是题目最终指标，而是为了同时考虑完整和缺失输入的模型选择分数。</w:t>
      </w:r>
    </w:p>
    <w:p>
      <w:pPr>
        <w:pStyle w:val="Heading1"/>
      </w:pPr>
      <w:r>
        <w:t>五 是否可以迁移到服务器上长训练</w:t>
      </w:r>
    </w:p>
    <w:p>
      <w:pPr>
        <w:spacing w:line="276" w:lineRule="auto" w:after="120"/>
      </w:pPr>
      <w:r>
        <w:t>可以。当前代码没有依赖Windows专用API，核心训练脚本可以迁移到Linux GPU服务器。服务器不需要迁移KITTI数据或母本VIO权重，只需要当前selective_sentiment代码、E题数据、BERT权重和训练环境。</w:t>
      </w:r>
    </w:p>
    <w:p>
      <w:pPr>
        <w:pStyle w:val="Heading2"/>
      </w:pPr>
      <w:r>
        <w:t>5.1 必须携带的内容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必须携带</w:t>
            </w:r>
          </w:p>
        </w:tc>
        <w:tc>
          <w:tcPr>
            <w:tcW w:type="dxa" w:w="336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代码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selective_sentiment/*.py；requirements-runtime.txt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训练、推理、问题1特征、问题3解释、打包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训练数据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附件2-数据集特征文件/aligned_50.pkl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训练、验证、测试；约1GB量级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文本权重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pretrained/bert/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text_bert到50×768；约420MB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任务检查点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outputs/best.pt（可选）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继续训练或直接专项推理；约1.7MB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训练记录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training_config.json、training_history.csv、input_audit.json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复现实验参数和输入审计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问题2专项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附件3对齐版PKL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生成30条缺失预测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问题3专项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附件4对齐版PKL及videos/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生成20条解释、时间和关键帧</w:t>
            </w:r>
          </w:p>
        </w:tc>
      </w:tr>
      <w:tr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问题1/定位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附件1 MP4、label-100.xlsx、pretrained/aligner/</w:t>
            </w:r>
          </w:p>
        </w:tc>
        <w:tc>
          <w:tcPr>
            <w:tcW w:type="dxa" w:w="336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原始特征、CTC对齐、视频关键帧；ASR约360MB</w:t>
            </w:r>
          </w:p>
        </w:tc>
      </w:tr>
    </w:tbl>
    <w:p>
      <w:pPr>
        <w:spacing w:after="20"/>
      </w:pPr>
    </w:p>
    <w:p>
      <w:pPr>
        <w:spacing w:line="276" w:lineRule="auto" w:after="120"/>
      </w:pPr>
      <w:r>
        <w:t>如果服务器只做问题2/3长训练，可不带附件1视频、label-100.xlsx、pretrained/aligner和问题1特征生成部分；如果要重新生成问题1或问题3视频证据，则必须带上。</w:t>
      </w:r>
    </w:p>
    <w:p>
      <w:pPr>
        <w:pStyle w:val="Heading2"/>
      </w:pPr>
      <w:r>
        <w:t>5.2 推荐目录</w:t>
      </w:r>
    </w:p>
    <w:p>
      <w:pPr>
        <w:ind w:left="360"/>
      </w:pPr>
      <w:r>
        <w:rPr>
          <w:rFonts w:ascii="Consolas" w:hAnsi="Consolas"/>
          <w:sz w:val="18"/>
        </w:rPr>
        <w:t>/workspace/E题/selective_sentiment/</w:t>
        <w:br/>
        <w:t>├── common.py model.py train.py predict.py media.py make_report.py</w:t>
        <w:br/>
        <w:t>├── requirements-runtime.txt</w:t>
        <w:br/>
        <w:t>├── pretrained/bert/  pretrained/aligner/</w:t>
        <w:br/>
        <w:t>├── outputs/best.pt</w:t>
        <w:br/>
        <w:t>└── data/E题数据/E题数据/</w:t>
        <w:br/>
        <w:t xml:space="preserve">    ├── 附件2-数据集特征文件/aligned_50.pkl</w:t>
        <w:br/>
        <w:t xml:space="preserve">    ├── 附件3-模态缺失特征样本/</w:t>
        <w:br/>
        <w:t xml:space="preserve">    ├── 附件4-可解释专项视频样本与特征文件/</w:t>
        <w:br/>
        <w:t xml:space="preserve">    └── 附件1-原始多模态样本/</w:t>
      </w:r>
    </w:p>
    <w:p>
      <w:pPr>
        <w:pStyle w:val="Heading2"/>
      </w:pPr>
      <w:r>
        <w:t>5.3 Linux安装与运行</w:t>
      </w:r>
    </w:p>
    <w:p>
      <w:pPr>
        <w:ind w:left="360"/>
      </w:pPr>
      <w:r>
        <w:rPr>
          <w:rFonts w:ascii="Consolas" w:hAnsi="Consolas"/>
          <w:sz w:val="18"/>
        </w:rPr>
        <w:t># 创建环境</w:t>
        <w:br/>
        <w:t>python3.12 -m venv .venv</w:t>
        <w:br/>
        <w:t>source .venv/bin/activate</w:t>
        <w:br/>
        <w:br/>
        <w:t># 先按服务器驱动选择兼容CUDA版PyTorch，再安装其余依赖</w:t>
        <w:br/>
        <w:t>pip install torch==2.7.1 --index-url https://download.pytorch.org/whl/cu128</w:t>
        <w:br/>
        <w:t>pip install -r requirements-runtime.txt --no-deps</w:t>
        <w:br/>
        <w:br/>
        <w:t># 无网络服务器：提前复制两个pretrained目录</w:t>
        <w:br/>
        <w:t>export HF_HUB_OFFLINE=1</w:t>
        <w:br/>
        <w:br/>
        <w:t># 长训练</w:t>
        <w:br/>
        <w:t>python train.py --data /workspace/E题数据/E题数据 \</w:t>
        <w:br/>
        <w:t xml:space="preserve">  --output outputs_long --epochs 50 --batch-size 64 --gate soft</w:t>
        <w:br/>
        <w:br/>
        <w:t># 专项预测和报告</w:t>
        <w:br/>
        <w:t>python predict.py --data /workspace/E题数据/E题数据 \</w:t>
        <w:br/>
        <w:t xml:space="preserve">  --checkpoint outputs_long/best.pt --output outputs_long</w:t>
        <w:br/>
        <w:t>python make_report.py --output outputs_long</w:t>
      </w:r>
    </w:p>
    <w:p>
      <w:pPr>
        <w:spacing w:line="276" w:lineRule="auto" w:after="120"/>
      </w:pPr>
      <w:r>
        <w:t>迁移时应使用--data、--output、--bert显式指定路径，避免Windows盘符残留。训练脚本会抽查前40个训练样本的BERT tokenizer是否与题目token id匹配；不匹配时主动停止。</w:t>
      </w:r>
    </w:p>
    <w:p>
      <w:pPr>
        <w:pStyle w:val="Heading2"/>
      </w:pPr>
      <w:r>
        <w:t>5.4 长训练建议</w:t>
      </w:r>
    </w:p>
    <w:p>
      <w:pPr>
        <w:pStyle w:val="ListBullet"/>
        <w:spacing w:after="60"/>
      </w:pPr>
      <w:r>
        <w:t>先运行 smoke_check.py，确认文本遮挡、缺失门控、padding不变性和全缺失输入均通过。</w:t>
      </w:r>
    </w:p>
    <w:p>
      <w:pPr>
        <w:pStyle w:val="ListBullet"/>
        <w:spacing w:after="60"/>
      </w:pPr>
      <w:r>
        <w:t>保存多个随机种子的 outputs_long_seedXXXX；最后只用验证集综合准则选择模型，不能根据专项测试结果调参。</w:t>
      </w:r>
    </w:p>
    <w:p>
      <w:pPr>
        <w:pStyle w:val="ListBullet"/>
        <w:spacing w:after="60"/>
      </w:pPr>
      <w:r>
        <w:t>8GB显存从batch size 32开始；24GB显存可尝试64或96，同时观察显存占用。</w:t>
      </w:r>
    </w:p>
    <w:p>
      <w:pPr>
        <w:pStyle w:val="ListBullet"/>
        <w:spacing w:after="60"/>
      </w:pPr>
      <w:r>
        <w:t>允许时将epochs从8提高到30至80，patience提高到8至12；保存训练曲线。</w:t>
      </w:r>
    </w:p>
    <w:p>
      <w:pPr>
        <w:pStyle w:val="ListBullet"/>
        <w:spacing w:after="60"/>
      </w:pPr>
      <w:r>
        <w:t>服务器驱动必须兼容CUDA和PyTorch。requirements-runtime.txt中的cu128是本次本地版本，不应机械安装到不兼容服务器。</w:t>
      </w:r>
    </w:p>
    <w:p>
      <w:pPr>
        <w:pStyle w:val="ListBullet"/>
        <w:spacing w:after="60"/>
      </w:pPr>
      <w:r>
        <w:t>至少保留训练配置、最佳epoch、验证指标、测试一次结果和最终checkpoint；不必提交所有中间checkpoint。</w:t>
      </w:r>
    </w:p>
    <w:p>
      <w:pPr>
        <w:pStyle w:val="Heading1"/>
      </w:pPr>
      <w:r>
        <w:t>六 结果文件与论文关系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论文内容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对应文件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问题1特征汇总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outputs/q1/sample_summary.csv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问题1特征和时间区间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outputs/q1/features/*.npz；outputs/q1/alignment/*.json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问题1典型对齐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outputs/q1/alignment_example.csv；example_frame.jpg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问题2专项预测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outputs/q2_predictions.csv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问题2指标和缺失敏感性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outputs/metrics.json；robustness.csv；figures/robustness.png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问题3预测和模态贡献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outputs/q3_predictions_explanations.csv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问题3局部证据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outputs/q3_window_effects.csv；cards/；keyframes/</w:t>
            </w:r>
          </w:p>
        </w:tc>
      </w:tr>
      <w:tr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复现说明</w:t>
            </w:r>
          </w:p>
        </w:tc>
        <w:tc>
          <w:tcPr>
            <w:tcW w:type="dxa" w:w="5040"/>
            <w:vAlign w:val="center"/>
            <w:shd w:fill="F4F7FB"/>
          </w:tcPr>
          <w:p>
            <w:pPr>
              <w:spacing w:after="40"/>
            </w:pPr>
            <w:r/>
            <w:r>
              <w:rPr>
                <w:b w:val="0"/>
              </w:rPr>
              <w:t>README.md；模型说明.md；结果说明.md；requirements-runtime.txt</w:t>
            </w:r>
          </w:p>
        </w:tc>
      </w:tr>
    </w:tbl>
    <w:p>
      <w:pPr>
        <w:spacing w:after="20"/>
      </w:pPr>
    </w:p>
    <w:p>
      <w:pPr>
        <w:pStyle w:val="Heading1"/>
      </w:pPr>
      <w:r>
        <w:t>七 论文中应主动说明的边界</w:t>
      </w:r>
    </w:p>
    <w:p>
      <w:pPr>
        <w:pStyle w:val="ListBullet"/>
        <w:spacing w:after="60"/>
      </w:pPr>
      <w:r>
        <w:t>当前模型来自单次短训练，不表示全局最优；长训练和多随机种子可能改变结果。</w:t>
      </w:r>
    </w:p>
    <w:p>
      <w:pPr>
        <w:pStyle w:val="ListBullet"/>
        <w:spacing w:after="60"/>
      </w:pPr>
      <w:r>
        <w:t>问题1自生成的32/35维特征与附件2的74/35维特征不是同一特征抽取器，不能混写。</w:t>
      </w:r>
    </w:p>
    <w:p>
      <w:pPr>
        <w:pStyle w:val="ListBullet"/>
        <w:spacing w:after="60"/>
      </w:pPr>
      <w:r>
        <w:t>门控和注意力是内部选择行为；解释使用遮挡干预，不把门控直接写成因果贡献。</w:t>
      </w:r>
    </w:p>
    <w:p>
      <w:pPr>
        <w:pStyle w:val="ListBullet"/>
        <w:spacing w:after="60"/>
      </w:pPr>
      <w:r>
        <w:t>原附件特征没有官方逐词时间戳，问题3定位使用CTC和WordPiece映射，应称为可回看的近似证据定位。</w:t>
      </w:r>
    </w:p>
    <w:p>
      <w:pPr>
        <w:pStyle w:val="ListBullet"/>
        <w:spacing w:after="60"/>
      </w:pPr>
      <w:r>
        <w:t>模型依赖文本较多；文本中段缺失70%时性能下降明显，因此只能说具有缺失处理机制，不能夸大为三模态完全均衡鲁棒。</w:t>
      </w:r>
    </w:p>
    <w:p>
      <w:pPr>
        <w:pStyle w:val="Heading1"/>
      </w:pPr>
      <w:r>
        <w:t>八 来源</w:t>
      </w:r>
    </w:p>
    <w:p>
      <w:pPr>
        <w:spacing w:line="276" w:lineRule="auto" w:after="120"/>
      </w:pPr>
      <w:r>
        <w:t>1. Yang, M., Chen, Y., Kim, H.-S. Efficient Deep Visual and Inertial Odometry with Adaptive Visual Modality Selection. ECCV 2022. https://arxiv.org/abs/2205.06187</w:t>
      </w:r>
    </w:p>
    <w:p>
      <w:pPr>
        <w:spacing w:line="276" w:lineRule="auto" w:after="120"/>
      </w:pPr>
      <w:r>
        <w:t>2. 原作者代码：https://github.com/mingyuyng/Visual-Selective-VIO</w:t>
      </w:r>
    </w:p>
    <w:p>
      <w:pPr>
        <w:spacing w:line="276" w:lineRule="auto" w:after="120"/>
      </w:pPr>
      <w:r>
        <w:t>3. 工作区E题题面、附件2至附件4数据，以及当前selective_sentiment代码和输出文件。</w:t>
      </w:r>
    </w:p>
    <w:p>
      <w:pPr>
        <w:spacing w:line="276" w:lineRule="auto" w:after="120"/>
      </w:pPr>
      <w:r>
        <w:t>4. BERT模型：https://huggingface.co/google-bert/bert-base-uncased；语音CTC模型：https://huggingface.co/facebook/wav2vec2-base-960h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