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股票分析系统 量化模型全面审计报告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Custom-Model v1.0 — 参数、权重、策略优化建议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审计日期: 2026年5月22日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审计范围: technical / analysis / signal_generator / factor_screener / backtest / risk_management / dragon_screener / divergence_detector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执行摘要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本报告对 custom-model 股票分析系统的所有量化模块进行了全面审计，覆盖技术指标参数、趋势研判引擎、多因子选股权重、复合信号生成、回测策略与风控模型。结合 2025-2026 年最新量化行业动态，提出 22 项具体优化建议。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系统整体架构良好，模块化设计清晰，EMA隧道+多指标确认的核心逻辑合理。主要优化方向集中在：自适应参数调整、多周期确认、因子衰减处理、回测引擎增强。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技术指标参数审计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EMA隧道系统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当前参数: </w:t>
      </w:r>
      <w:r>
        <w:rPr>
          <w:rFonts w:ascii="Arial" w:cs="Arial" w:eastAsia="Arial" w:hAnsi="Arial"/>
          <w:sz w:val="22"/>
          <w:szCs w:val="22"/>
        </w:rPr>
        <w:t xml:space="preserve">内隧道 [8, 13, 21]，外隧道 [55, 144, 169, 288, 338]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评估: </w:t>
      </w:r>
      <w:r>
        <w:rPr>
          <w:rFonts w:ascii="Arial" w:cs="Arial" w:eastAsia="Arial" w:hAnsi="Arial"/>
          <w:sz w:val="22"/>
          <w:szCs w:val="22"/>
        </w:rPr>
        <w:t xml:space="preserve">Fibonacci序列选择合理。但 EMA_288/338 需约 1.5 年数据才稳定，对新股和数据较短的股票不友好。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400"/>
        <w:gridCol w:w="7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外隧道精简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[55,144,169,288,338]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精简为 [55,144,233]，去掉169/288/338的冗余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多周期确认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加入周线/月线EMA方向确认，大周期趋势与日线一致时才开仓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数据不足回退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当数据&lt;338日时，自动回退到精简隧道 [55,144]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振荡指标组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462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优化建议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周期14，超买&gt;75，超卖&lt;25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固定阈值，震荡市假信号多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引入自适应阈值：高波动放宽到80/20，低波动收紧到65/35。双周期RSI(14+7)交叉确认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N=9, M1=3, M2=3。超买&gt;80、超卖&lt;20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偏敏感，A股洗盘多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N拉长到14减少假金叉。J值极端判断已有，建议加权使用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周期14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偏短，标准是20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改为20周期，与布林带统一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周期14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标准参数，合理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保持不变，可加双周期(14+28)确认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布林带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20周期、±2σ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Squeeze阈值过低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Squeeze阈值从0.1调为0.15，减少A股误报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TD序列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DeMark 9计数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仅有Setup，缺Countdown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增加TD Countdown(13计数)确认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2.3 趋势与动量指标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12/26/9 经典参数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参数保持。建议MACD柱加速/减速判断已部分实现，可考虑遗传算法优化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af_start=0.02, af_max=0.2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经典参数保持。建议纳入趋势评分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周期14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建讪DX&gt;25作为趋势强度确认纳入评分（当前未使用ADX）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一目均衡表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9/26/52/26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经典参数，建议增加云层厚度作为波动性指标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趋势研判引擎审计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趋势强度评分 (calculate_trend_strength)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当前架构: </w:t>
      </w:r>
      <w:r>
        <w:rPr>
          <w:rFonts w:ascii="Arial" w:cs="Arial" w:eastAsia="Arial" w:hAnsi="Arial"/>
          <w:sz w:val="22"/>
          <w:szCs w:val="22"/>
        </w:rPr>
        <w:t xml:space="preserve">基准分45 + 7维度评分（EMA±15、MACD±15、KDJ±10、布林±7、量能±8、动量±8、北向±7）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亮点: </w:t>
      </w:r>
      <w:r>
        <w:rPr>
          <w:rFonts w:ascii="Arial" w:cs="Arial" w:eastAsia="Arial" w:hAnsi="Arial"/>
          <w:sz w:val="22"/>
          <w:szCs w:val="22"/>
        </w:rPr>
        <w:t xml:space="preserve">v2版本纳入量能、动量、北向资金，基准分下移到45避免中性虚高，这是很好的设计。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缺ADX/SAR确认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ADX&gt;25时+3分，SAR方向一致+2分，总计±5分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背离检测未接入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divergence_detector.py已存在但未纳入评分。MACD顶背离扣分，底背离加分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评分缺维度补偿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当benchmark/北向缺失时默认0，却不调整基准分。建议按可用维度数动态调整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EMA趋势判断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问题: </w:t>
      </w:r>
      <w:r>
        <w:rPr>
          <w:rFonts w:ascii="Arial" w:cs="Arial" w:eastAsia="Arial" w:hAnsi="Arial"/>
          <w:sz w:val="22"/>
          <w:szCs w:val="22"/>
        </w:rPr>
        <w:t xml:space="preserve">“多头”条件要求价格超越外隧道顶部(EMA_338)，太严格，许多明显多头趋势被判为“震荡”。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建议: </w:t>
      </w:r>
      <w:r>
        <w:rPr>
          <w:rFonts w:ascii="Arial" w:cs="Arial" w:eastAsia="Arial" w:hAnsi="Arial"/>
          <w:sz w:val="22"/>
          <w:szCs w:val="22"/>
        </w:rPr>
        <w:t xml:space="preserve">放宽为 Close &gt; EMA_55 AND 内隧道多头排列，外隧道位置作为强度加成而非硬性门槛。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多因子选股权重审计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系统提供四套权重预设（均衡/动量/价值/红利），结构合理。A股特色因子（5个）是系统亮点。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因子衰减缺失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动量因子半衰期~3个月，估值因子~12个月。建议加入时间衰减系数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因子“舒适区”缺失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全市场统一排序，未按行业/市值分域。建议引入行业内排名标准化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RSI因子方向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direction=0惩罚偏离50。动量型中应改为direction=1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红利型权重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股息0.35符合红利风格回归趋势，参数合理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保持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PE/PB截断过宽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PE&gt;500、PB&gt;50。建议收紧到行业百分位截断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复合信号生成器审计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亮点: </w:t>
      </w:r>
      <w:r>
        <w:rPr>
          <w:rFonts w:ascii="Arial" w:cs="Arial" w:eastAsia="Arial" w:hAnsi="Arial"/>
          <w:sz w:val="22"/>
          <w:szCs w:val="22"/>
        </w:rPr>
        <w:t xml:space="preserve">信号桶去相关性设计非常好，避免了一个事实被计三票。当前6个买入桶逻辑清晰。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7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缺趋势强度确认桶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信号只看“是否触发”，不看趋势评分。建议trend_score&gt;62作为额外桶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置信度过简单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30+n_buckets*14线性。建议加入桶质量权重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卖出桶pattern为空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建议加入TD卖出信号和K线形态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止损硬编码8%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analysis.py中硬编码0.92。应调用dynamic_stop_loss()实现板块自适应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回测引擎与风控审计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v3版本已加入回撤熔断、跳空保护、连亏冷却等机制，架构成熟。板块差异化ATR止损 + 市值修正设计专业。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00"/>
        <w:gridCol w:w="7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固定仓位95%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每次开仓用capital*0.95。建议改为Kelly/ATR动态仓位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缺WFO验证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无滚动窗口前推优化。当前回测只证明过去拟合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滑点模型单一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slippage=0.001固定。小盘股/北交所应提高到0.003-0.005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交易成本偏低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仅算佣金，未含印花税(0.05%)和过户费。建议commission_rate调为0.16%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缺阶梯止损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current_stop_price已预留但未实现。建议浮盈&gt;1ATR时抬高止损到成本价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连亏冷却未集成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CONSECUTIVE_LOSS_LIMIT=3已定义但未在BacktestEngine中实现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8A00"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优化实施路线图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1: 快速见效（1-2天）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参数调整类，修改少、见效快：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36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CCI周期 14→20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布林带 squeeze阈值 0.1→0.15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止损硬编码替换为 dynamic_stop_loss() 调用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回测佣金 0.1%→0.16%（含印花税）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小盘股滑点 0.001→0.003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卖出桶加入 TD卖出信号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signal_generator.py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2: 核心升级（1-2周）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架构优化类，提升模型整体精度：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36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多周期趋势确认系统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technical.py + analysis.py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自适应 RSI 阈值（波动率驱动）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technical.py + signal_generator.py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背离检测集成到趋势评分 + 信号桶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analysis.py + signal_generator.py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ADX/SAR 纳入趋势强度评分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因子时间衰减系数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factor_screener.py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因子行业/市值分域标准化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factor_screener.py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Kelly/ATR动态仓位管理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阶梯止损实现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risk_management.py + backtest.py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信号桶加入趋势强度确认桶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signal_generator.py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3: 进阶提升（2-4周）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研究性优化，需大量回测验证：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36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Optimization 滚动回测验证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遗传算法优化 MACD 参数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EMA多头条件放宽 + 外隧道精简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Countdown(13计数)实现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市场环境过滤器增强（均线斜率+波动率突增）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risk_management.py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因子舒适区分域建模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factor_screener.py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云层厚度作为波动性补充指标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technical.py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总体评价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这套量化分析系统的架构设计属于中高水平。模块化分层清晰（指标计算/分析/信号生成/回测/风控各司其责），代码质量良好。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特别亮点包括：信号桶去相关性设计、A股特色因子（5个）、板块差异化ATR止损、市值修正系数、红利型权重预设、回撤熔断机制等。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主要短板集中在三个方面：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指标参数全部固定，缺少自适应调整机制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已有模块未充分集成（背离检测、ADX、SAR等算了但没用上）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回测缺少前推验证和动态仓位管理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建议从 Phase 1 开始逐步实施，每次修改后用回测引擎对比修改前后的胜率、收益、最大回撤、夏普比率等指标。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Custom-Model 量化模型审计报告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2026-05-22T02:42:04.747Z</dcterms:created>
  <dcterms:modified xsi:type="dcterms:W3CDTF">2026-05-22T02:42:04.748Z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