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</w:t>
      </w:r>
    </w:p>
    <w:p w:rsidR="00C07702" w:rsidRPr="00C07702" w:rsidRDefault="00C07702" w:rsidP="00C07702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Which of the following statements is true concerning linear discriminant analysis?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867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20.25pt;height:17.25pt" o:ole="">
                  <v:imagedata r:id="rId6" o:title=""/>
                </v:shape>
                <w:control r:id="rId7" w:name="DefaultOcxName" w:shapeid="_x0000_i126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For predictors, either a continuous or discrete type variables can be used.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3" type="#_x0000_t75" style="width:20.25pt;height:17.25pt" o:ole="">
                  <v:imagedata r:id="rId6" o:title=""/>
                </v:shape>
                <w:control r:id="rId8" w:name="DefaultOcxName1" w:shapeid="_x0000_i126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Equal variances are not required across groups.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5" type="#_x0000_t75" style="width:20.25pt;height:17.25pt" o:ole="">
                  <v:imagedata r:id="rId9" o:title=""/>
                </v:shape>
                <w:control r:id="rId10" w:name="DefaultOcxName2" w:shapeid="_x0000_i126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Predictor variables are assumed to be normally distributed. 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1" type="#_x0000_t75" style="width:20.25pt;height:17.25pt" o:ole="">
                  <v:imagedata r:id="rId6" o:title=""/>
                </v:shape>
                <w:control r:id="rId11" w:name="DefaultOcxName3" w:shapeid="_x0000_i126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above. 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2</w:t>
      </w:r>
    </w:p>
    <w:p w:rsidR="00C07702" w:rsidRPr="00C07702" w:rsidRDefault="00C07702" w:rsidP="00C07702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Which of the following statements is true concerning classification and regression tree (CART)?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6239"/>
      </w:tblGrid>
      <w:tr w:rsidR="00C07702" w:rsidRPr="00C07702" w:rsidTr="00C07702">
        <w:tc>
          <w:tcPr>
            <w:tcW w:w="0" w:type="auto"/>
            <w:hideMark/>
          </w:tcPr>
          <w:bookmarkStart w:id="0" w:name="_GoBack"/>
          <w:bookmarkEnd w:id="0"/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6" type="#_x0000_t75" style="width:20.25pt;height:17.25pt" o:ole="">
                  <v:imagedata r:id="rId9" o:title=""/>
                </v:shape>
                <w:control r:id="rId12" w:name="DefaultOcxName4" w:shapeid="_x0000_i126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For classifiers (predictors), either continuous or discrete variable can be used.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9" type="#_x0000_t75" style="width:20.25pt;height:17.25pt" o:ole="">
                  <v:imagedata r:id="rId6" o:title=""/>
                </v:shape>
                <w:control r:id="rId13" w:name="DefaultOcxName5" w:shapeid="_x0000_i125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Best attribute for a tree model is the one that yields the largest tree.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8" type="#_x0000_t75" style="width:20.25pt;height:17.25pt" o:ole="">
                  <v:imagedata r:id="rId6" o:title=""/>
                </v:shape>
                <w:control r:id="rId14" w:name="DefaultOcxName6" w:shapeid="_x0000_i125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It grows each tree on an independent bootstrap sample from the training data.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7" type="#_x0000_t75" style="width:20.25pt;height:17.25pt" o:ole="">
                  <v:imagedata r:id="rId6" o:title=""/>
                </v:shape>
                <w:control r:id="rId15" w:name="DefaultOcxName7" w:shapeid="_x0000_i125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above.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3</w:t>
      </w:r>
    </w:p>
    <w:p w:rsidR="00C07702" w:rsidRPr="00C07702" w:rsidRDefault="00C07702" w:rsidP="00C07702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If you run a linear discriminant analysis with ‘age’, ‘duration’ and ‘previous’, what is the coefficient of linear discriminant for ‘previous’?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56" type="#_x0000_t75" style="width:20.25pt;height:17.25pt" o:ole="">
                  <v:imagedata r:id="rId6" o:title=""/>
                </v:shape>
                <w:control r:id="rId16" w:name="DefaultOcxName8" w:shapeid="_x0000_i125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[2.1, 2.2]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5" type="#_x0000_t75" style="width:20.25pt;height:17.25pt" o:ole="">
                  <v:imagedata r:id="rId6" o:title=""/>
                </v:shape>
                <w:control r:id="rId17" w:name="DefaultOcxName9" w:shapeid="_x0000_i125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[1.3, 1.4]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7" type="#_x0000_t75" style="width:20.25pt;height:17.25pt" o:ole="">
                  <v:imagedata r:id="rId9" o:title=""/>
                </v:shape>
                <w:control r:id="rId18" w:name="DefaultOcxName10" w:shapeid="_x0000_i126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[1.1, 1.2]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3" type="#_x0000_t75" style="width:20.25pt;height:17.25pt" o:ole="">
                  <v:imagedata r:id="rId6" o:title=""/>
                </v:shape>
                <w:control r:id="rId19" w:name="DefaultOcxName11" w:shapeid="_x0000_i125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4</w:t>
      </w:r>
    </w:p>
    <w:p w:rsidR="00C07702" w:rsidRPr="00C07702" w:rsidRDefault="00C07702" w:rsidP="00C07702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When you build a linear discriminant model using the training dataset and predict using the validation dataset, what is the predictive hit rate (accuracy) and the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similarity index (accuracy measure that discards true negatives)?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286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8" type="#_x0000_t75" style="width:20.25pt;height:17.25pt" o:ole="">
                  <v:imagedata r:id="rId9" o:title=""/>
                </v:shape>
                <w:control r:id="rId20" w:name="DefaultOcxName12" w:shapeid="_x0000_i126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[0.88, 0.90] and [0.25, 0.26]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1" type="#_x0000_t75" style="width:20.25pt;height:17.25pt" o:ole="">
                  <v:imagedata r:id="rId6" o:title=""/>
                </v:shape>
                <w:control r:id="rId21" w:name="DefaultOcxName13" w:shapeid="_x0000_i125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[0.87, 0.88] and [0.35, 0.36]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0" type="#_x0000_t75" style="width:20.25pt;height:17.25pt" o:ole="">
                  <v:imagedata r:id="rId6" o:title=""/>
                </v:shape>
                <w:control r:id="rId22" w:name="DefaultOcxName14" w:shapeid="_x0000_i125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[0.25, 0.26] and [0.88, 0.90]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9" type="#_x0000_t75" style="width:20.25pt;height:17.25pt" o:ole="">
                  <v:imagedata r:id="rId6" o:title=""/>
                </v:shape>
                <w:control r:id="rId23" w:name="DefaultOcxName15" w:shapeid="_x0000_i124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5</w:t>
      </w:r>
    </w:p>
    <w:p w:rsidR="00C07702" w:rsidRPr="00C07702" w:rsidRDefault="00C07702" w:rsidP="00C07702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If you consider a Naïve Bayes classifier, what is the a priori likelihood of classification membership (i.e., prior proportion of membership before any data information is added)?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286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8" type="#_x0000_t75" style="width:20.25pt;height:17.25pt" o:ole="">
                  <v:imagedata r:id="rId6" o:title=""/>
                </v:shape>
                <w:control r:id="rId24" w:name="DefaultOcxName16" w:shapeid="_x0000_i124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[0.87, 0.88] and [0.11, 0.12]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9" type="#_x0000_t75" style="width:20.25pt;height:17.25pt" o:ole="">
                  <v:imagedata r:id="rId9" o:title=""/>
                </v:shape>
                <w:control r:id="rId25" w:name="DefaultOcxName17" w:shapeid="_x0000_i126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[0.88, 0.89] and [0.11, 0.12]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46" type="#_x0000_t75" style="width:20.25pt;height:17.25pt" o:ole="">
                  <v:imagedata r:id="rId6" o:title=""/>
                </v:shape>
                <w:control r:id="rId26" w:name="DefaultOcxName18" w:shapeid="_x0000_i124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[0.88, 0.89] and [0.10, 0.11]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5" type="#_x0000_t75" style="width:20.25pt;height:17.25pt" o:ole="">
                  <v:imagedata r:id="rId6" o:title=""/>
                </v:shape>
                <w:control r:id="rId27" w:name="DefaultOcxName19" w:shapeid="_x0000_i124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6</w:t>
      </w:r>
    </w:p>
    <w:p w:rsidR="00C07702" w:rsidRPr="00C07702" w:rsidRDefault="00C07702" w:rsidP="00C07702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When you build a Naïve Bayes Classifier with ‘age’, ‘duration’ and ‘previous’ on the training dataset and predict using the validation dataset, what is the predictive hit rate (accuracy) and the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similarity index?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86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4" type="#_x0000_t75" style="width:20.25pt;height:17.25pt" o:ole="">
                  <v:imagedata r:id="rId6" o:title=""/>
                </v:shape>
                <w:control r:id="rId28" w:name="DefaultOcxName20" w:shapeid="_x0000_i124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[0.88, 0.90] and [0.25, 0.26]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0" type="#_x0000_t75" style="width:20.25pt;height:17.25pt" o:ole="">
                  <v:imagedata r:id="rId9" o:title=""/>
                </v:shape>
                <w:control r:id="rId29" w:name="DefaultOcxName21" w:shapeid="_x0000_i127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[0.88, 0.90] and [0.28, 0.30]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2" type="#_x0000_t75" style="width:20.25pt;height:17.25pt" o:ole="">
                  <v:imagedata r:id="rId6" o:title=""/>
                </v:shape>
                <w:control r:id="rId30" w:name="DefaultOcxName22" w:shapeid="_x0000_i124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[0.25, 0.26] and [0.88, 0.90]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1" type="#_x0000_t75" style="width:20.25pt;height:17.25pt" o:ole="">
                  <v:imagedata r:id="rId6" o:title=""/>
                </v:shape>
                <w:control r:id="rId31" w:name="DefaultOcxName23" w:shapeid="_x0000_i124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7</w:t>
      </w:r>
    </w:p>
    <w:p w:rsidR="00C07702" w:rsidRPr="00C07702" w:rsidRDefault="00C07702" w:rsidP="00C07702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If you run a CART model with ‘age’, ‘duration’, and ‘previous’ on the training dataset, what will be the most important variable?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40" type="#_x0000_t75" style="width:20.25pt;height:17.25pt" o:ole="">
                  <v:imagedata r:id="rId6" o:title=""/>
                </v:shape>
                <w:control r:id="rId32" w:name="DefaultOcxName24" w:shapeid="_x0000_i124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Age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9" type="#_x0000_t75" style="width:20.25pt;height:17.25pt" o:ole="">
                  <v:imagedata r:id="rId6" o:title=""/>
                </v:shape>
                <w:control r:id="rId33" w:name="DefaultOcxName25" w:shapeid="_x0000_i123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Previous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1" type="#_x0000_t75" style="width:20.25pt;height:17.25pt" o:ole="">
                  <v:imagedata r:id="rId9" o:title=""/>
                </v:shape>
                <w:control r:id="rId34" w:name="DefaultOcxName26" w:shapeid="_x0000_i127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Duration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7" type="#_x0000_t75" style="width:20.25pt;height:17.25pt" o:ole="">
                  <v:imagedata r:id="rId6" o:title=""/>
                </v:shape>
                <w:control r:id="rId35" w:name="DefaultOcxName27" w:shapeid="_x0000_i123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lastRenderedPageBreak/>
        <w:t>QUESTION 8</w:t>
      </w:r>
    </w:p>
    <w:p w:rsidR="00C07702" w:rsidRPr="00C07702" w:rsidRDefault="00C07702" w:rsidP="00C07702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What is the first node-split criteria for a CART model with ‘age’, ‘duration’, and ‘previous’ on the training dataset?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2" type="#_x0000_t75" style="width:20.25pt;height:17.25pt" o:ole="">
                  <v:imagedata r:id="rId9" o:title=""/>
                </v:shape>
                <w:control r:id="rId36" w:name="DefaultOcxName28" w:shapeid="_x0000_i127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Duration &lt; 524.5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5" type="#_x0000_t75" style="width:20.25pt;height:17.25pt" o:ole="">
                  <v:imagedata r:id="rId6" o:title=""/>
                </v:shape>
                <w:control r:id="rId37" w:name="DefaultOcxName29" w:shapeid="_x0000_i123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Previous = 1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4" type="#_x0000_t75" style="width:20.25pt;height:17.25pt" o:ole="">
                  <v:imagedata r:id="rId6" o:title=""/>
                </v:shape>
                <w:control r:id="rId38" w:name="DefaultOcxName30" w:shapeid="_x0000_i123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Age &gt; 40.5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3" type="#_x0000_t75" style="width:20.25pt;height:17.25pt" o:ole="">
                  <v:imagedata r:id="rId6" o:title=""/>
                </v:shape>
                <w:control r:id="rId39" w:name="DefaultOcxName31" w:shapeid="_x0000_i123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9</w:t>
      </w:r>
    </w:p>
    <w:p w:rsidR="00C07702" w:rsidRPr="00C07702" w:rsidRDefault="00C07702" w:rsidP="00C07702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When you build a CART model with ‘age’, ‘duration’, and ‘previous’ on the training dataset and predict using the validation dataset, what is the predictive hit rate and the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similarity index?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286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2" type="#_x0000_t75" style="width:20.25pt;height:17.25pt" o:ole="">
                  <v:imagedata r:id="rId6" o:title=""/>
                </v:shape>
                <w:control r:id="rId40" w:name="DefaultOcxName32" w:shapeid="_x0000_i123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[0.92, 0.93] and [0.23, 0.24]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1" type="#_x0000_t75" style="width:20.25pt;height:17.25pt" o:ole="">
                  <v:imagedata r:id="rId6" o:title=""/>
                </v:shape>
                <w:control r:id="rId41" w:name="DefaultOcxName33" w:shapeid="_x0000_i123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[0.87, 0.88] and [0.28, 0.30]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3" type="#_x0000_t75" style="width:20.25pt;height:17.25pt" o:ole="">
                  <v:imagedata r:id="rId9" o:title=""/>
                </v:shape>
                <w:control r:id="rId42" w:name="DefaultOcxName34" w:shapeid="_x0000_i127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[0.89, 0.91] and [0.23, 0.24]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29" type="#_x0000_t75" style="width:20.25pt;height:17.25pt" o:ole="">
                  <v:imagedata r:id="rId6" o:title=""/>
                </v:shape>
                <w:control r:id="rId43" w:name="DefaultOcxName35" w:shapeid="_x0000_i122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A037F4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10</w:t>
      </w:r>
    </w:p>
    <w:p w:rsidR="00A037F4" w:rsidRDefault="00A037F4">
      <w:pPr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>
        <w:rPr>
          <w:rFonts w:ascii="inherit" w:eastAsia="Times New Roman" w:hAnsi="inherit" w:cs="Arial"/>
          <w:b/>
          <w:bCs/>
          <w:caps/>
          <w:color w:val="444444"/>
          <w:spacing w:val="30"/>
        </w:rPr>
        <w:br w:type="page"/>
      </w:r>
    </w:p>
    <w:p w:rsidR="00C07702" w:rsidRPr="00C07702" w:rsidRDefault="000B5E3E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>
        <w:rPr>
          <w:rFonts w:ascii="inherit" w:eastAsia="Times New Roman" w:hAnsi="inherit" w:cs="Arial"/>
          <w:b/>
          <w:bCs/>
          <w:caps/>
          <w:color w:val="444444"/>
          <w:spacing w:val="30"/>
        </w:rPr>
        <w:lastRenderedPageBreak/>
        <w:t>#Rando</w:t>
      </w:r>
    </w:p>
    <w:p w:rsidR="00C07702" w:rsidRPr="00C07702" w:rsidRDefault="00C07702" w:rsidP="00C07702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If you run a Random Forest model with ‘age’, ‘marital’, ‘housing’, ‘duration’, and ‘previous’ using training dataset by creating 1000 trees, what is the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similarity index upon prediction?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8" type="#_x0000_t75" style="width:20.25pt;height:17.25pt" o:ole="">
                  <v:imagedata r:id="rId6" o:title=""/>
                </v:shape>
                <w:control r:id="rId44" w:name="DefaultOcxName36" w:shapeid="_x0000_i122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[0.15, 0.2]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4" type="#_x0000_t75" style="width:20.25pt;height:17.25pt" o:ole="">
                  <v:imagedata r:id="rId9" o:title=""/>
                </v:shape>
                <w:control r:id="rId45" w:name="DefaultOcxName37" w:shapeid="_x0000_i127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[0.23, 0.28]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6" type="#_x0000_t75" style="width:20.25pt;height:17.25pt" o:ole="">
                  <v:imagedata r:id="rId6" o:title=""/>
                </v:shape>
                <w:control r:id="rId46" w:name="DefaultOcxName38" w:shapeid="_x0000_i122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[0.30, 0.35]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5" type="#_x0000_t75" style="width:20.25pt;height:17.25pt" o:ole="">
                  <v:imagedata r:id="rId6" o:title=""/>
                </v:shape>
                <w:control r:id="rId47" w:name="DefaultOcxName39" w:shapeid="_x0000_i122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11</w:t>
      </w:r>
    </w:p>
    <w:p w:rsidR="00C07702" w:rsidRPr="00C07702" w:rsidRDefault="00C07702" w:rsidP="00C07702">
      <w:pPr>
        <w:numPr>
          <w:ilvl w:val="0"/>
          <w:numId w:val="11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If you run a Random Forest model with ‘age’, ‘duration’, and ‘previous’ using training dataset by creating 500 trees, what is the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similarity index upon prediction?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4" type="#_x0000_t75" style="width:20.25pt;height:17.25pt" o:ole="">
                  <v:imagedata r:id="rId6" o:title=""/>
                </v:shape>
                <w:control r:id="rId48" w:name="DefaultOcxName40" w:shapeid="_x0000_i122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[0.14, 0.18]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3" type="#_x0000_t75" style="width:20.25pt;height:17.25pt" o:ole="">
                  <v:imagedata r:id="rId6" o:title=""/>
                </v:shape>
                <w:control r:id="rId49" w:name="DefaultOcxName41" w:shapeid="_x0000_i122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[0.22, 0.28]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5" type="#_x0000_t75" style="width:20.25pt;height:17.25pt" o:ole="">
                  <v:imagedata r:id="rId9" o:title=""/>
                </v:shape>
                <w:control r:id="rId50" w:name="DefaultOcxName42" w:shapeid="_x0000_i127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[0.20, 0.21]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1" type="#_x0000_t75" style="width:20.25pt;height:17.25pt" o:ole="">
                  <v:imagedata r:id="rId6" o:title=""/>
                </v:shape>
                <w:control r:id="rId51" w:name="DefaultOcxName43" w:shapeid="_x0000_i122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12</w:t>
      </w:r>
      <w:r w:rsidR="00630271">
        <w:rPr>
          <w:rFonts w:ascii="inherit" w:eastAsia="Times New Roman" w:hAnsi="inherit" w:cs="Arial"/>
          <w:b/>
          <w:bCs/>
          <w:caps/>
          <w:color w:val="444444"/>
          <w:spacing w:val="30"/>
        </w:rPr>
        <w:t>_reg</w:t>
      </w:r>
    </w:p>
    <w:p w:rsidR="00C07702" w:rsidRPr="00C07702" w:rsidRDefault="00C07702" w:rsidP="00C07702">
      <w:pPr>
        <w:numPr>
          <w:ilvl w:val="0"/>
          <w:numId w:val="12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lastRenderedPageBreak/>
        <w:t>If you use factor analysis to try and reduce dimensions (without oblique rotation) for ratings on Q1 – Q22, what proportion of the variance can be explained by a three factor model?</w:t>
      </w:r>
    </w:p>
    <w:p w:rsidR="00C07702" w:rsidRPr="00C07702" w:rsidRDefault="00C07702" w:rsidP="00C07702">
      <w:pPr>
        <w:spacing w:after="45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0" type="#_x0000_t75" style="width:20.25pt;height:17.25pt" o:ole="">
                  <v:imagedata r:id="rId6" o:title=""/>
                </v:shape>
                <w:control r:id="rId52" w:name="DefaultOcxName44" w:shapeid="_x0000_i122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[88, 90]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9" type="#_x0000_t75" style="width:20.25pt;height:17.25pt" o:ole="">
                  <v:imagedata r:id="rId6" o:title=""/>
                </v:shape>
                <w:control r:id="rId53" w:name="DefaultOcxName45" w:shapeid="_x0000_i121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[65, 67]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6" type="#_x0000_t75" style="width:20.25pt;height:17.25pt" o:ole="">
                  <v:imagedata r:id="rId9" o:title=""/>
                </v:shape>
                <w:control r:id="rId54" w:name="DefaultOcxName46" w:shapeid="_x0000_i127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[68, 71]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7" type="#_x0000_t75" style="width:20.25pt;height:17.25pt" o:ole="">
                  <v:imagedata r:id="rId6" o:title=""/>
                </v:shape>
                <w:control r:id="rId55" w:name="DefaultOcxName47" w:shapeid="_x0000_i121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13</w:t>
      </w:r>
    </w:p>
    <w:p w:rsidR="00C07702" w:rsidRPr="00C07702" w:rsidRDefault="00C07702" w:rsidP="00C07702">
      <w:pPr>
        <w:numPr>
          <w:ilvl w:val="0"/>
          <w:numId w:val="13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In a three factor model for Q1 – Q22 (without oblique rotation) what are the three questions that load onto the 3rd factor that likely captures “Tangibles” dimension?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7" type="#_x0000_t75" style="width:20.25pt;height:17.25pt" o:ole="">
                  <v:imagedata r:id="rId9" o:title=""/>
                </v:shape>
                <w:control r:id="rId56" w:name="DefaultOcxName48" w:shapeid="_x0000_i127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Q11, Q12, Q14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5" type="#_x0000_t75" style="width:20.25pt;height:17.25pt" o:ole="">
                  <v:imagedata r:id="rId6" o:title=""/>
                </v:shape>
                <w:control r:id="rId57" w:name="DefaultOcxName49" w:shapeid="_x0000_i121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Q11, Q12, Q1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4" type="#_x0000_t75" style="width:20.25pt;height:17.25pt" o:ole="">
                  <v:imagedata r:id="rId6" o:title=""/>
                </v:shape>
                <w:control r:id="rId58" w:name="DefaultOcxName50" w:shapeid="_x0000_i121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Q11, Q1, Q3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3" type="#_x0000_t75" style="width:20.25pt;height:17.25pt" o:ole="">
                  <v:imagedata r:id="rId6" o:title=""/>
                </v:shape>
                <w:control r:id="rId59" w:name="DefaultOcxName51" w:shapeid="_x0000_i121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14</w:t>
      </w:r>
    </w:p>
    <w:p w:rsidR="00C07702" w:rsidRPr="00C07702" w:rsidRDefault="00C07702" w:rsidP="00C07702">
      <w:pPr>
        <w:numPr>
          <w:ilvl w:val="0"/>
          <w:numId w:val="14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In a three factor model for Q1 - Q22 (without oblique rotation), what can the 2nd factor be representative of in terms of the five potential dimensions of the survey?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12" type="#_x0000_t75" style="width:20.25pt;height:17.25pt" o:ole="">
                  <v:imagedata r:id="rId6" o:title=""/>
                </v:shape>
                <w:control r:id="rId60" w:name="DefaultOcxName52" w:shapeid="_x0000_i121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Assurance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8" type="#_x0000_t75" style="width:20.25pt;height:17.25pt" o:ole="">
                  <v:imagedata r:id="rId9" o:title=""/>
                </v:shape>
                <w:control r:id="rId61" w:name="DefaultOcxName53" w:shapeid="_x0000_i127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Reliability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0" type="#_x0000_t75" style="width:20.25pt;height:17.25pt" o:ole="">
                  <v:imagedata r:id="rId6" o:title=""/>
                </v:shape>
                <w:control r:id="rId62" w:name="DefaultOcxName54" w:shapeid="_x0000_i121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Empathy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9" type="#_x0000_t75" style="width:20.25pt;height:17.25pt" o:ole="">
                  <v:imagedata r:id="rId6" o:title=""/>
                </v:shape>
                <w:control r:id="rId63" w:name="DefaultOcxName55" w:shapeid="_x0000_i120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15</w:t>
      </w:r>
    </w:p>
    <w:p w:rsidR="00C07702" w:rsidRPr="00C07702" w:rsidRDefault="00C07702" w:rsidP="00C07702">
      <w:pPr>
        <w:numPr>
          <w:ilvl w:val="0"/>
          <w:numId w:val="15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In a three factor model with oblique rotation for Q1 – Q22, what percentage of the total variation can be explained by the three factors?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9" type="#_x0000_t75" style="width:20.25pt;height:17.25pt" o:ole="">
                  <v:imagedata r:id="rId9" o:title=""/>
                </v:shape>
                <w:control r:id="rId64" w:name="DefaultOcxName56" w:shapeid="_x0000_i127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[0.60, 0.63]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7" type="#_x0000_t75" style="width:20.25pt;height:17.25pt" o:ole="">
                  <v:imagedata r:id="rId6" o:title=""/>
                </v:shape>
                <w:control r:id="rId65" w:name="DefaultOcxName57" w:shapeid="_x0000_i120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[0.70, 0.73]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6" type="#_x0000_t75" style="width:20.25pt;height:17.25pt" o:ole="">
                  <v:imagedata r:id="rId6" o:title=""/>
                </v:shape>
                <w:control r:id="rId66" w:name="DefaultOcxName58" w:shapeid="_x0000_i120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[0.65, 0.68]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5" type="#_x0000_t75" style="width:20.25pt;height:17.25pt" o:ole="">
                  <v:imagedata r:id="rId6" o:title=""/>
                </v:shape>
                <w:control r:id="rId67" w:name="DefaultOcxName59" w:shapeid="_x0000_i120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16</w:t>
      </w:r>
    </w:p>
    <w:p w:rsidR="00C07702" w:rsidRPr="00C07702" w:rsidRDefault="00C07702" w:rsidP="00C07702">
      <w:pPr>
        <w:numPr>
          <w:ilvl w:val="0"/>
          <w:numId w:val="16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In a three factor model with oblique rotation for Q1 – Q22, which two factors have the greatest correlation?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4" type="#_x0000_t75" style="width:20.25pt;height:17.25pt" o:ole="">
                  <v:imagedata r:id="rId6" o:title=""/>
                </v:shape>
                <w:control r:id="rId68" w:name="DefaultOcxName60" w:shapeid="_x0000_i120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F1 and F2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0" type="#_x0000_t75" style="width:20.25pt;height:17.25pt" o:ole="">
                  <v:imagedata r:id="rId9" o:title=""/>
                </v:shape>
                <w:control r:id="rId69" w:name="DefaultOcxName61" w:shapeid="_x0000_i128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F1 and F3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02" type="#_x0000_t75" style="width:20.25pt;height:17.25pt" o:ole="">
                  <v:imagedata r:id="rId6" o:title=""/>
                </v:shape>
                <w:control r:id="rId70" w:name="DefaultOcxName62" w:shapeid="_x0000_i120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F2 and F3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1" type="#_x0000_t75" style="width:20.25pt;height:17.25pt" o:ole="">
                  <v:imagedata r:id="rId6" o:title=""/>
                </v:shape>
                <w:control r:id="rId71" w:name="DefaultOcxName63" w:shapeid="_x0000_i120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17</w:t>
      </w:r>
    </w:p>
    <w:p w:rsidR="00C07702" w:rsidRPr="00C07702" w:rsidRDefault="00C07702" w:rsidP="00C07702">
      <w:pPr>
        <w:numPr>
          <w:ilvl w:val="0"/>
          <w:numId w:val="17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What can you say about the regression of </w:t>
      </w:r>
      <w:proofErr w:type="spellStart"/>
      <w:r w:rsidRPr="00C07702">
        <w:rPr>
          <w:rFonts w:ascii="inherit" w:eastAsia="Times New Roman" w:hAnsi="inherit" w:cs="Arial"/>
          <w:color w:val="111111"/>
          <w:sz w:val="20"/>
          <w:szCs w:val="20"/>
        </w:rPr>
        <w:t>servqual</w:t>
      </w:r>
      <w:proofErr w:type="spellEnd"/>
      <w:r w:rsidRPr="00C07702">
        <w:rPr>
          <w:rFonts w:ascii="inherit" w:eastAsia="Times New Roman" w:hAnsi="inherit" w:cs="Arial"/>
          <w:color w:val="111111"/>
          <w:sz w:val="20"/>
          <w:szCs w:val="20"/>
        </w:rPr>
        <w:t xml:space="preserve"> (dependent variable) on the three orthogonal (i.e. not correlated) factors obtained using a three factor model?</w:t>
      </w:r>
    </w:p>
    <w:p w:rsidR="00C07702" w:rsidRPr="00C07702" w:rsidRDefault="00C07702" w:rsidP="00C07702">
      <w:pPr>
        <w:spacing w:after="240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436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0" type="#_x0000_t75" style="width:20.25pt;height:17.25pt" o:ole="">
                  <v:imagedata r:id="rId6" o:title=""/>
                </v:shape>
                <w:control r:id="rId72" w:name="DefaultOcxName64" w:shapeid="_x0000_i1200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All factors have a negative and significant coefficient 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9" type="#_x0000_t75" style="width:20.25pt;height:17.25pt" o:ole="">
                  <v:imagedata r:id="rId6" o:title=""/>
                </v:shape>
                <w:control r:id="rId73" w:name="DefaultOcxName65" w:shapeid="_x0000_i119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Not all factors are statistically significant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1" type="#_x0000_t75" style="width:20.25pt;height:17.25pt" o:ole="">
                  <v:imagedata r:id="rId9" o:title=""/>
                </v:shape>
                <w:control r:id="rId74" w:name="DefaultOcxName66" w:shapeid="_x0000_i128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All factors have a positive and significant coefficient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7" type="#_x0000_t75" style="width:20.25pt;height:17.25pt" o:ole="">
                  <v:imagedata r:id="rId6" o:title=""/>
                </v:shape>
                <w:control r:id="rId75" w:name="DefaultOcxName67" w:shapeid="_x0000_i1197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18</w:t>
      </w:r>
    </w:p>
    <w:p w:rsidR="00C07702" w:rsidRPr="00C07702" w:rsidRDefault="00C07702" w:rsidP="00C07702">
      <w:pPr>
        <w:numPr>
          <w:ilvl w:val="0"/>
          <w:numId w:val="18"/>
        </w:numPr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What can you say about the regression of </w:t>
      </w:r>
      <w:proofErr w:type="spellStart"/>
      <w:r w:rsidRPr="00C07702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servqual</w:t>
      </w:r>
      <w:proofErr w:type="spellEnd"/>
      <w:r w:rsidRPr="00C07702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(dependent variable) on the three correlated factor scores (with oblique rotation) obtained using a three factor model?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4362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6" type="#_x0000_t75" style="width:20.25pt;height:17.25pt" o:ole="">
                  <v:imagedata r:id="rId6" o:title=""/>
                </v:shape>
                <w:control r:id="rId76" w:name="DefaultOcxName68" w:shapeid="_x0000_i119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All factors have a negative and significant coefficient.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282" type="#_x0000_t75" style="width:20.25pt;height:17.25pt" o:ole="">
                  <v:imagedata r:id="rId9" o:title=""/>
                </v:shape>
                <w:control r:id="rId77" w:name="DefaultOcxName69" w:shapeid="_x0000_i128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Not all factors are statistically significant.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4" type="#_x0000_t75" style="width:20.25pt;height:17.25pt" o:ole="">
                  <v:imagedata r:id="rId6" o:title=""/>
                </v:shape>
                <w:control r:id="rId78" w:name="DefaultOcxName70" w:shapeid="_x0000_i1194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All factors have a positive and significant coefficient.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3" type="#_x0000_t75" style="width:20.25pt;height:17.25pt" o:ole="">
                  <v:imagedata r:id="rId6" o:title=""/>
                </v:shape>
                <w:control r:id="rId79" w:name="DefaultOcxName71" w:shapeid="_x0000_i119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19</w:t>
      </w:r>
    </w:p>
    <w:p w:rsidR="00C07702" w:rsidRPr="00C07702" w:rsidRDefault="00C07702" w:rsidP="00C07702">
      <w:pPr>
        <w:numPr>
          <w:ilvl w:val="0"/>
          <w:numId w:val="19"/>
        </w:numPr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Courier New" w:eastAsia="Times New Roman" w:hAnsi="Courier New" w:cs="Courier New"/>
          <w:color w:val="111111"/>
          <w:bdr w:val="none" w:sz="0" w:space="0" w:color="auto" w:frame="1"/>
        </w:rPr>
        <w:t>Which of the following is true about factor analysis?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710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2" type="#_x0000_t75" style="width:20.25pt;height:17.25pt" o:ole="">
                  <v:imagedata r:id="rId6" o:title=""/>
                </v:shape>
                <w:control r:id="rId80" w:name="DefaultOcxName72" w:shapeid="_x0000_i1192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It can be used to extract uncorrelated dimensions from a large number of highly correlated dimensions.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91" type="#_x0000_t75" style="width:20.25pt;height:17.25pt" o:ole="">
                  <v:imagedata r:id="rId6" o:title=""/>
                </v:shape>
                <w:control r:id="rId81" w:name="DefaultOcxName73" w:shapeid="_x0000_i1191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Factor analysis allows for theory based extraction of factors by allowing for some degree of correlations among the factors.</w:t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3" type="#_x0000_t75" style="width:20.25pt;height:17.25pt" o:ole="">
                  <v:imagedata r:id="rId9" o:title=""/>
                </v:shape>
                <w:control r:id="rId82" w:name="DefaultOcxName74" w:shapeid="_x0000_i1283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Both A and B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9" type="#_x0000_t75" style="width:20.25pt;height:17.25pt" o:ole="">
                  <v:imagedata r:id="rId6" o:title=""/>
                </v:shape>
                <w:control r:id="rId83" w:name="DefaultOcxName75" w:shapeid="_x0000_i1189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07702" w:rsidRPr="00C07702" w:rsidRDefault="00C07702" w:rsidP="00C07702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C07702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C07702" w:rsidRPr="00C07702" w:rsidRDefault="00C07702" w:rsidP="00C07702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07702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20</w:t>
      </w:r>
    </w:p>
    <w:p w:rsidR="00C07702" w:rsidRPr="00C07702" w:rsidRDefault="00C07702" w:rsidP="00C07702">
      <w:pPr>
        <w:numPr>
          <w:ilvl w:val="0"/>
          <w:numId w:val="20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C07702">
        <w:rPr>
          <w:rFonts w:ascii="inherit" w:eastAsia="Times New Roman" w:hAnsi="inherit" w:cs="Arial"/>
          <w:color w:val="111111"/>
          <w:sz w:val="20"/>
          <w:szCs w:val="20"/>
        </w:rPr>
        <w:t> Which of the following is a procedure for dimension reduction that allows some domain-specific knowledge to select final model?</w:t>
      </w:r>
    </w:p>
    <w:p w:rsidR="00C07702" w:rsidRPr="00C07702" w:rsidRDefault="00C07702" w:rsidP="00C07702">
      <w:pPr>
        <w:spacing w:after="45" w:line="240" w:lineRule="auto"/>
        <w:rPr>
          <w:rFonts w:ascii="inherit" w:eastAsia="Times New Roman" w:hAnsi="inherit" w:cs="Arial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486"/>
      </w:tblGrid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8" type="#_x0000_t75" style="width:20.25pt;height:17.25pt" o:ole="">
                  <v:imagedata r:id="rId6" o:title=""/>
                </v:shape>
                <w:control r:id="rId84" w:name="DefaultOcxName76" w:shapeid="_x0000_i1188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Principal Component Analysis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5" type="#_x0000_t75" style="width:20.25pt;height:17.25pt" o:ole="">
                  <v:imagedata r:id="rId9" o:title=""/>
                </v:shape>
                <w:control r:id="rId85" w:name="DefaultOcxName77" w:shapeid="_x0000_i128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Factor Analysis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6" type="#_x0000_t75" style="width:20.25pt;height:17.25pt" o:ole="">
                  <v:imagedata r:id="rId6" o:title=""/>
                </v:shape>
                <w:control r:id="rId86" w:name="DefaultOcxName78" w:shapeid="_x0000_i1186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Multi-dimensional Scaling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C07702" w:rsidRPr="00C07702" w:rsidTr="00C07702"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185" type="#_x0000_t75" style="width:20.25pt;height:17.25pt" o:ole="">
                  <v:imagedata r:id="rId6" o:title=""/>
                </v:shape>
                <w:control r:id="rId87" w:name="DefaultOcxName79" w:shapeid="_x0000_i1185"/>
              </w:objec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7702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C07702" w:rsidRPr="00C07702" w:rsidRDefault="00C07702" w:rsidP="00C077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7702">
              <w:rPr>
                <w:rFonts w:ascii="inherit" w:eastAsia="Times New Roman" w:hAnsi="inherit" w:cs="Times New Roman"/>
                <w:sz w:val="20"/>
                <w:szCs w:val="20"/>
              </w:rPr>
              <w:t>None of the above </w:t>
            </w:r>
          </w:p>
          <w:p w:rsidR="00C07702" w:rsidRPr="00C07702" w:rsidRDefault="00C07702" w:rsidP="00C0770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0770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203300" w:rsidRDefault="00203300"/>
    <w:sectPr w:rsidR="0020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07FA"/>
    <w:multiLevelType w:val="multilevel"/>
    <w:tmpl w:val="5A0E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2577"/>
    <w:multiLevelType w:val="multilevel"/>
    <w:tmpl w:val="127E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11D1C"/>
    <w:multiLevelType w:val="multilevel"/>
    <w:tmpl w:val="E448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0166E"/>
    <w:multiLevelType w:val="multilevel"/>
    <w:tmpl w:val="6A58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63C6B"/>
    <w:multiLevelType w:val="multilevel"/>
    <w:tmpl w:val="3DC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A6696"/>
    <w:multiLevelType w:val="multilevel"/>
    <w:tmpl w:val="869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E5112"/>
    <w:multiLevelType w:val="multilevel"/>
    <w:tmpl w:val="BE4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F04B0"/>
    <w:multiLevelType w:val="multilevel"/>
    <w:tmpl w:val="FA2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65B59"/>
    <w:multiLevelType w:val="multilevel"/>
    <w:tmpl w:val="498E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52024"/>
    <w:multiLevelType w:val="multilevel"/>
    <w:tmpl w:val="6D3C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A308E"/>
    <w:multiLevelType w:val="multilevel"/>
    <w:tmpl w:val="C6F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018A1"/>
    <w:multiLevelType w:val="multilevel"/>
    <w:tmpl w:val="2F24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9036F"/>
    <w:multiLevelType w:val="multilevel"/>
    <w:tmpl w:val="F17C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E5C03"/>
    <w:multiLevelType w:val="multilevel"/>
    <w:tmpl w:val="659C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F52B4"/>
    <w:multiLevelType w:val="multilevel"/>
    <w:tmpl w:val="002C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E07B9"/>
    <w:multiLevelType w:val="multilevel"/>
    <w:tmpl w:val="E00A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952A2"/>
    <w:multiLevelType w:val="multilevel"/>
    <w:tmpl w:val="92B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B22B2"/>
    <w:multiLevelType w:val="multilevel"/>
    <w:tmpl w:val="975A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C5962"/>
    <w:multiLevelType w:val="multilevel"/>
    <w:tmpl w:val="839A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77DE8"/>
    <w:multiLevelType w:val="multilevel"/>
    <w:tmpl w:val="EB0A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15"/>
  </w:num>
  <w:num w:numId="10">
    <w:abstractNumId w:val="0"/>
  </w:num>
  <w:num w:numId="11">
    <w:abstractNumId w:val="7"/>
  </w:num>
  <w:num w:numId="12">
    <w:abstractNumId w:val="18"/>
  </w:num>
  <w:num w:numId="13">
    <w:abstractNumId w:val="5"/>
  </w:num>
  <w:num w:numId="14">
    <w:abstractNumId w:val="14"/>
  </w:num>
  <w:num w:numId="15">
    <w:abstractNumId w:val="12"/>
  </w:num>
  <w:num w:numId="16">
    <w:abstractNumId w:val="11"/>
  </w:num>
  <w:num w:numId="17">
    <w:abstractNumId w:val="2"/>
  </w:num>
  <w:num w:numId="18">
    <w:abstractNumId w:val="17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02"/>
    <w:rsid w:val="000A3280"/>
    <w:rsid w:val="000B5E3E"/>
    <w:rsid w:val="00203300"/>
    <w:rsid w:val="00630271"/>
    <w:rsid w:val="00A037F4"/>
    <w:rsid w:val="00AE2926"/>
    <w:rsid w:val="00B46C72"/>
    <w:rsid w:val="00C07702"/>
    <w:rsid w:val="00C22FBB"/>
    <w:rsid w:val="00EA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DBECB-847F-445A-9105-81E449E1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7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C0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77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59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59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59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59F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3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8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8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7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1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0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86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39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2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2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0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82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80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5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6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27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7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6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4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E6E8-0C0A-46FA-AE4E-612DB2CC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</dc:creator>
  <cp:keywords/>
  <dc:description/>
  <cp:lastModifiedBy>Ashfaq</cp:lastModifiedBy>
  <cp:revision>3</cp:revision>
  <dcterms:created xsi:type="dcterms:W3CDTF">2016-04-23T01:30:00Z</dcterms:created>
  <dcterms:modified xsi:type="dcterms:W3CDTF">2016-04-25T07:01:00Z</dcterms:modified>
</cp:coreProperties>
</file>