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Matcher Work Split</w:t>
      </w:r>
    </w:p>
    <w:p>
      <w:pPr>
        <w:spacing w:after="200"/>
      </w:pPr>
      <w:r>
        <w:rPr>
          <w:b/>
          <w:color w:val="007C91"/>
          <w:sz w:val="22"/>
        </w:rPr>
        <w:t>Claude handles compact, high-judgment work. Gemini handles broader implementation work with clear, testable specifications.</w:t>
      </w:r>
    </w:p>
    <w:p>
      <w:r>
        <w:t>This is a standalone execution plan for the Resume-to-Job Matcher. It divides the project into independent deliverables, defines where each model hands work to the other, and keeps one person responsible for integration and final decisions.</w:t>
      </w:r>
    </w:p>
    <w:p>
      <w:pPr>
        <w:pStyle w:val="Heading1"/>
      </w:pPr>
      <w:r>
        <w:t>Division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7365D"/>
          </w:tcPr>
          <w:p>
            <w:pPr>
              <w:spacing w:after="20"/>
            </w:pPr>
            <w:r/>
            <w:r>
              <w:rPr>
                <w:rFonts w:ascii="Aptos" w:hAnsi="Aptos"/>
                <w:b/>
                <w:color w:val="FFFFFF"/>
                <w:sz w:val="18"/>
              </w:rPr>
              <w:t>Owner</w:t>
            </w:r>
          </w:p>
        </w:tc>
        <w:tc>
          <w:tcPr>
            <w:tcW w:type="dxa" w:w="3672"/>
            <w:vAlign w:val="center"/>
            <w:shd w:fill="17365D"/>
          </w:tcPr>
          <w:p>
            <w:pPr>
              <w:spacing w:after="20"/>
            </w:pPr>
            <w:r/>
            <w:r>
              <w:rPr>
                <w:rFonts w:ascii="Aptos" w:hAnsi="Aptos"/>
                <w:b/>
                <w:color w:val="FFFFFF"/>
                <w:sz w:val="18"/>
              </w:rPr>
              <w:t>Best-fit work</w:t>
            </w:r>
          </w:p>
        </w:tc>
        <w:tc>
          <w:tcPr>
            <w:tcW w:type="dxa" w:w="4320"/>
            <w:vAlign w:val="center"/>
            <w:shd w:fill="17365D"/>
          </w:tcPr>
          <w:p>
            <w:pPr>
              <w:spacing w:after="20"/>
            </w:pPr>
            <w:r/>
            <w:r>
              <w:rPr>
                <w:rFonts w:ascii="Aptos" w:hAnsi="Aptos"/>
                <w:b/>
                <w:color w:val="FFFFFF"/>
                <w:sz w:val="18"/>
              </w:rPr>
              <w:t>Primary outputs</w:t>
            </w:r>
          </w:p>
        </w:tc>
      </w:tr>
      <w:tr>
        <w:tc>
          <w:tcPr>
            <w:tcW w:type="dxa" w:w="1656"/>
            <w:vAlign w:val="center"/>
          </w:tcPr>
          <w:p>
            <w:pPr>
              <w:spacing w:after="20"/>
            </w:pPr>
            <w:r/>
            <w:r>
              <w:rPr>
                <w:rFonts w:ascii="Aptos" w:hAnsi="Aptos"/>
                <w:b w:val="0"/>
                <w:sz w:val="17"/>
              </w:rPr>
              <w:t>Gemini</w:t>
            </w:r>
          </w:p>
        </w:tc>
        <w:tc>
          <w:tcPr>
            <w:tcW w:type="dxa" w:w="3672"/>
            <w:vAlign w:val="center"/>
          </w:tcPr>
          <w:p>
            <w:pPr>
              <w:spacing w:after="20"/>
            </w:pPr>
            <w:r/>
            <w:r>
              <w:rPr>
                <w:rFonts w:ascii="Aptos" w:hAnsi="Aptos"/>
                <w:b w:val="0"/>
                <w:sz w:val="17"/>
              </w:rPr>
              <w:t>Larger, well-scoped build tasks and routine project plumbing</w:t>
            </w:r>
          </w:p>
        </w:tc>
        <w:tc>
          <w:tcPr>
            <w:tcW w:type="dxa" w:w="4320"/>
            <w:vAlign w:val="center"/>
          </w:tcPr>
          <w:p>
            <w:pPr>
              <w:spacing w:after="20"/>
            </w:pPr>
            <w:r/>
            <w:r>
              <w:rPr>
                <w:rFonts w:ascii="Aptos" w:hAnsi="Aptos"/>
                <w:b w:val="0"/>
                <w:sz w:val="17"/>
              </w:rPr>
              <w:t>Data pipeline, TF-IDF baseline, API and UI scaffolding, deployment setup, project documentation</w:t>
            </w:r>
          </w:p>
        </w:tc>
      </w:tr>
      <w:tr>
        <w:tc>
          <w:tcPr>
            <w:tcW w:type="dxa" w:w="1656"/>
            <w:vAlign w:val="center"/>
          </w:tcPr>
          <w:p>
            <w:pPr>
              <w:spacing w:after="20"/>
            </w:pPr>
            <w:r/>
            <w:r>
              <w:rPr>
                <w:rFonts w:ascii="Aptos" w:hAnsi="Aptos"/>
                <w:b w:val="0"/>
                <w:sz w:val="17"/>
              </w:rPr>
              <w:t>Claude</w:t>
            </w:r>
          </w:p>
        </w:tc>
        <w:tc>
          <w:tcPr>
            <w:tcW w:type="dxa" w:w="3672"/>
            <w:vAlign w:val="center"/>
          </w:tcPr>
          <w:p>
            <w:pPr>
              <w:spacing w:after="20"/>
            </w:pPr>
            <w:r/>
            <w:r>
              <w:rPr>
                <w:rFonts w:ascii="Aptos" w:hAnsi="Aptos"/>
                <w:b w:val="0"/>
                <w:sz w:val="17"/>
              </w:rPr>
              <w:t>Smaller tasks where correctness depends on careful reasoning, evaluation design, or edge-case handling</w:t>
            </w:r>
          </w:p>
        </w:tc>
        <w:tc>
          <w:tcPr>
            <w:tcW w:type="dxa" w:w="4320"/>
            <w:vAlign w:val="center"/>
          </w:tcPr>
          <w:p>
            <w:pPr>
              <w:spacing w:after="20"/>
            </w:pPr>
            <w:r/>
            <w:r>
              <w:rPr>
                <w:rFonts w:ascii="Aptos" w:hAnsi="Aptos"/>
                <w:b w:val="0"/>
                <w:sz w:val="17"/>
              </w:rPr>
              <w:t>Leakage-safe evaluation plan, semantic ranking module review, skill-gap logic review, privacy and fairness review</w:t>
            </w:r>
          </w:p>
        </w:tc>
      </w:tr>
      <w:tr>
        <w:tc>
          <w:tcPr>
            <w:tcW w:type="dxa" w:w="1656"/>
            <w:vAlign w:val="center"/>
          </w:tcPr>
          <w:p>
            <w:pPr>
              <w:spacing w:after="20"/>
            </w:pPr>
            <w:r/>
            <w:r>
              <w:rPr>
                <w:rFonts w:ascii="Aptos" w:hAnsi="Aptos"/>
                <w:b w:val="0"/>
                <w:sz w:val="17"/>
              </w:rPr>
              <w:t>Project owner</w:t>
            </w:r>
          </w:p>
        </w:tc>
        <w:tc>
          <w:tcPr>
            <w:tcW w:type="dxa" w:w="3672"/>
            <w:vAlign w:val="center"/>
          </w:tcPr>
          <w:p>
            <w:pPr>
              <w:spacing w:after="20"/>
            </w:pPr>
            <w:r/>
            <w:r>
              <w:rPr>
                <w:rFonts w:ascii="Aptos" w:hAnsi="Aptos"/>
                <w:b w:val="0"/>
                <w:sz w:val="17"/>
              </w:rPr>
              <w:t>Choices, integration, acceptance, and claims made in the portfolio</w:t>
            </w:r>
          </w:p>
        </w:tc>
        <w:tc>
          <w:tcPr>
            <w:tcW w:type="dxa" w:w="4320"/>
            <w:vAlign w:val="center"/>
          </w:tcPr>
          <w:p>
            <w:pPr>
              <w:spacing w:after="20"/>
            </w:pPr>
            <w:r/>
            <w:r>
              <w:rPr>
                <w:rFonts w:ascii="Aptos" w:hAnsi="Aptos"/>
                <w:b w:val="0"/>
                <w:sz w:val="17"/>
              </w:rPr>
              <w:t>Approved interfaces, merged code, final metrics, demo and published repo</w:t>
            </w:r>
          </w:p>
        </w:tc>
      </w:tr>
    </w:tbl>
    <w:p>
      <w:pPr>
        <w:spacing w:after="0"/>
      </w:pPr>
    </w:p>
    <w:p>
      <w:pPr>
        <w:pStyle w:val="Heading1"/>
      </w:pPr>
      <w:r>
        <w:t>Gemini workstream</w:t>
      </w:r>
    </w:p>
    <w:p>
      <w:r>
        <w:t>Give Gemini the larger implementation packages. Keep each package tied to a written interface and ask for a runnable, documented result.</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8"/>
              </w:rPr>
              <w:t>Package</w:t>
            </w:r>
          </w:p>
        </w:tc>
        <w:tc>
          <w:tcPr>
            <w:tcW w:type="dxa" w:w="4680"/>
            <w:vAlign w:val="center"/>
            <w:shd w:fill="17365D"/>
          </w:tcPr>
          <w:p>
            <w:pPr>
              <w:spacing w:after="20"/>
            </w:pPr>
            <w:r/>
            <w:r>
              <w:rPr>
                <w:rFonts w:ascii="Aptos" w:hAnsi="Aptos"/>
                <w:b/>
                <w:color w:val="FFFFFF"/>
                <w:sz w:val="18"/>
              </w:rPr>
              <w:t>Scope</w:t>
            </w:r>
          </w:p>
        </w:tc>
        <w:tc>
          <w:tcPr>
            <w:tcW w:type="dxa" w:w="3024"/>
            <w:vAlign w:val="center"/>
            <w:shd w:fill="17365D"/>
          </w:tcPr>
          <w:p>
            <w:pPr>
              <w:spacing w:after="20"/>
            </w:pPr>
            <w:r/>
            <w:r>
              <w:rPr>
                <w:rFonts w:ascii="Aptos" w:hAnsi="Aptos"/>
                <w:b/>
                <w:color w:val="FFFFFF"/>
                <w:sz w:val="18"/>
              </w:rPr>
              <w:t>Done when</w:t>
            </w:r>
          </w:p>
        </w:tc>
      </w:tr>
      <w:tr>
        <w:tc>
          <w:tcPr>
            <w:tcW w:type="dxa" w:w="1944"/>
            <w:vAlign w:val="center"/>
          </w:tcPr>
          <w:p>
            <w:pPr>
              <w:spacing w:after="20"/>
            </w:pPr>
            <w:r/>
            <w:r>
              <w:rPr>
                <w:rFonts w:ascii="Aptos" w:hAnsi="Aptos"/>
                <w:b w:val="0"/>
                <w:sz w:val="17"/>
              </w:rPr>
              <w:t>G1 Data intake and cleaning</w:t>
            </w:r>
          </w:p>
        </w:tc>
        <w:tc>
          <w:tcPr>
            <w:tcW w:type="dxa" w:w="4680"/>
            <w:vAlign w:val="center"/>
          </w:tcPr>
          <w:p>
            <w:pPr>
              <w:spacing w:after="20"/>
            </w:pPr>
            <w:r/>
            <w:r>
              <w:rPr>
                <w:rFonts w:ascii="Aptos" w:hAnsi="Aptos"/>
                <w:b w:val="0"/>
                <w:sz w:val="17"/>
              </w:rPr>
              <w:t>Load the selected job and resume sources; map fields to common schemas; clean text, deduplicate, filter records, save versioned Parquet; keep raw data out of Git.</w:t>
            </w:r>
          </w:p>
        </w:tc>
        <w:tc>
          <w:tcPr>
            <w:tcW w:type="dxa" w:w="3024"/>
            <w:vAlign w:val="center"/>
          </w:tcPr>
          <w:p>
            <w:pPr>
              <w:spacing w:after="20"/>
            </w:pPr>
            <w:r/>
            <w:r>
              <w:rPr>
                <w:rFonts w:ascii="Aptos" w:hAnsi="Aptos"/>
                <w:b w:val="0"/>
                <w:sz w:val="17"/>
              </w:rPr>
              <w:t>A repeatable command produces clean outputs and a data summary with source, row counts, and exclusions.</w:t>
            </w:r>
          </w:p>
        </w:tc>
      </w:tr>
      <w:tr>
        <w:tc>
          <w:tcPr>
            <w:tcW w:type="dxa" w:w="1944"/>
            <w:vAlign w:val="center"/>
          </w:tcPr>
          <w:p>
            <w:pPr>
              <w:spacing w:after="20"/>
            </w:pPr>
            <w:r/>
            <w:r>
              <w:rPr>
                <w:rFonts w:ascii="Aptos" w:hAnsi="Aptos"/>
                <w:b w:val="0"/>
                <w:sz w:val="17"/>
              </w:rPr>
              <w:t>G2 TF-IDF baseline</w:t>
            </w:r>
          </w:p>
        </w:tc>
        <w:tc>
          <w:tcPr>
            <w:tcW w:type="dxa" w:w="4680"/>
            <w:vAlign w:val="center"/>
          </w:tcPr>
          <w:p>
            <w:pPr>
              <w:spacing w:after="20"/>
            </w:pPr>
            <w:r/>
            <w:r>
              <w:rPr>
                <w:rFonts w:ascii="Aptos" w:hAnsi="Aptos"/>
                <w:b w:val="0"/>
                <w:sz w:val="17"/>
              </w:rPr>
              <w:t>Build a reproducible baseline that ranks jobs for a resume; expose a small Python interface for scoring and top-K retrieval.</w:t>
            </w:r>
          </w:p>
        </w:tc>
        <w:tc>
          <w:tcPr>
            <w:tcW w:type="dxa" w:w="3024"/>
            <w:vAlign w:val="center"/>
          </w:tcPr>
          <w:p>
            <w:pPr>
              <w:spacing w:after="20"/>
            </w:pPr>
            <w:r/>
            <w:r>
              <w:rPr>
                <w:rFonts w:ascii="Aptos" w:hAnsi="Aptos"/>
                <w:b w:val="0"/>
                <w:sz w:val="17"/>
              </w:rPr>
              <w:t>The baseline runs on the agreed evaluation split and writes ranked results plus metrics.</w:t>
            </w:r>
          </w:p>
        </w:tc>
      </w:tr>
      <w:tr>
        <w:tc>
          <w:tcPr>
            <w:tcW w:type="dxa" w:w="1944"/>
            <w:vAlign w:val="center"/>
          </w:tcPr>
          <w:p>
            <w:pPr>
              <w:spacing w:after="20"/>
            </w:pPr>
            <w:r/>
            <w:r>
              <w:rPr>
                <w:rFonts w:ascii="Aptos" w:hAnsi="Aptos"/>
                <w:b w:val="0"/>
                <w:sz w:val="17"/>
              </w:rPr>
              <w:t>G3 API and application shell</w:t>
            </w:r>
          </w:p>
        </w:tc>
        <w:tc>
          <w:tcPr>
            <w:tcW w:type="dxa" w:w="4680"/>
            <w:vAlign w:val="center"/>
          </w:tcPr>
          <w:p>
            <w:pPr>
              <w:spacing w:after="20"/>
            </w:pPr>
            <w:r/>
            <w:r>
              <w:rPr>
                <w:rFonts w:ascii="Aptos" w:hAnsi="Aptos"/>
                <w:b w:val="0"/>
                <w:sz w:val="17"/>
              </w:rPr>
              <w:t>Implement FastAPI request/response models and health, parse, match, rank, and feedback route scaffolding; create the agreed minimal UI pages.</w:t>
            </w:r>
          </w:p>
        </w:tc>
        <w:tc>
          <w:tcPr>
            <w:tcW w:type="dxa" w:w="3024"/>
            <w:vAlign w:val="center"/>
          </w:tcPr>
          <w:p>
            <w:pPr>
              <w:spacing w:after="20"/>
            </w:pPr>
            <w:r/>
            <w:r>
              <w:rPr>
                <w:rFonts w:ascii="Aptos" w:hAnsi="Aptos"/>
                <w:b w:val="0"/>
                <w:sz w:val="17"/>
              </w:rPr>
              <w:t>The app runs locally, validates inputs, handles expected errors, and calls the ranking interface through the agreed contract.</w:t>
            </w:r>
          </w:p>
        </w:tc>
      </w:tr>
      <w:tr>
        <w:tc>
          <w:tcPr>
            <w:tcW w:type="dxa" w:w="1944"/>
            <w:vAlign w:val="center"/>
          </w:tcPr>
          <w:p>
            <w:pPr>
              <w:spacing w:after="20"/>
            </w:pPr>
            <w:r/>
            <w:r>
              <w:rPr>
                <w:rFonts w:ascii="Aptos" w:hAnsi="Aptos"/>
                <w:b w:val="0"/>
                <w:sz w:val="17"/>
              </w:rPr>
              <w:t>G4 Packaging and delivery plumbing</w:t>
            </w:r>
          </w:p>
        </w:tc>
        <w:tc>
          <w:tcPr>
            <w:tcW w:type="dxa" w:w="4680"/>
            <w:vAlign w:val="center"/>
          </w:tcPr>
          <w:p>
            <w:pPr>
              <w:spacing w:after="20"/>
            </w:pPr>
            <w:r/>
            <w:r>
              <w:rPr>
                <w:rFonts w:ascii="Aptos" w:hAnsi="Aptos"/>
                <w:b w:val="0"/>
                <w:sz w:val="17"/>
              </w:rPr>
              <w:t>Add Docker setup, CI workflow, lint/test commands, environment-variable configuration, and deployment instructions.</w:t>
            </w:r>
          </w:p>
        </w:tc>
        <w:tc>
          <w:tcPr>
            <w:tcW w:type="dxa" w:w="3024"/>
            <w:vAlign w:val="center"/>
          </w:tcPr>
          <w:p>
            <w:pPr>
              <w:spacing w:after="20"/>
            </w:pPr>
            <w:r/>
            <w:r>
              <w:rPr>
                <w:rFonts w:ascii="Aptos" w:hAnsi="Aptos"/>
                <w:b w:val="0"/>
                <w:sz w:val="17"/>
              </w:rPr>
              <w:t>A clean checkout can run the documented local workflow; CI runs the selected checks.</w:t>
            </w:r>
          </w:p>
        </w:tc>
      </w:tr>
      <w:tr>
        <w:tc>
          <w:tcPr>
            <w:tcW w:type="dxa" w:w="1944"/>
            <w:vAlign w:val="center"/>
          </w:tcPr>
          <w:p>
            <w:pPr>
              <w:spacing w:after="20"/>
            </w:pPr>
            <w:r/>
            <w:r>
              <w:rPr>
                <w:rFonts w:ascii="Aptos" w:hAnsi="Aptos"/>
                <w:b w:val="0"/>
                <w:sz w:val="17"/>
              </w:rPr>
              <w:t>G5 Portfolio documentation</w:t>
            </w:r>
          </w:p>
        </w:tc>
        <w:tc>
          <w:tcPr>
            <w:tcW w:type="dxa" w:w="4680"/>
            <w:vAlign w:val="center"/>
          </w:tcPr>
          <w:p>
            <w:pPr>
              <w:spacing w:after="20"/>
            </w:pPr>
            <w:r/>
            <w:r>
              <w:rPr>
                <w:rFonts w:ascii="Aptos" w:hAnsi="Aptos"/>
                <w:b w:val="0"/>
                <w:sz w:val="17"/>
              </w:rPr>
              <w:t>Prepare README structure, architecture diagram source, setup instructions, demo checklist, and limitations page using verified project facts.</w:t>
            </w:r>
          </w:p>
        </w:tc>
        <w:tc>
          <w:tcPr>
            <w:tcW w:type="dxa" w:w="3024"/>
            <w:vAlign w:val="center"/>
          </w:tcPr>
          <w:p>
            <w:pPr>
              <w:spacing w:after="20"/>
            </w:pPr>
            <w:r/>
            <w:r>
              <w:rPr>
                <w:rFonts w:ascii="Aptos" w:hAnsi="Aptos"/>
                <w:b w:val="0"/>
                <w:sz w:val="17"/>
              </w:rPr>
              <w:t>A reviewer can reproduce the demo and find data, metrics, and limitations without relying on undocumented steps.</w:t>
            </w:r>
          </w:p>
        </w:tc>
      </w:tr>
    </w:tbl>
    <w:p>
      <w:pPr>
        <w:spacing w:after="0"/>
      </w:pPr>
    </w:p>
    <w:p>
      <w:pPr>
        <w:pStyle w:val="Heading1"/>
      </w:pPr>
      <w:r>
        <w:t>Claude workstream</w:t>
      </w:r>
    </w:p>
    <w:p>
      <w:r>
        <w:t>Give Claude compact, high-impact review and design tasks. Ask for specific decisions, edge cases, and acceptance criteria rather than broad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365D"/>
          </w:tcPr>
          <w:p>
            <w:pPr>
              <w:spacing w:after="20"/>
            </w:pPr>
            <w:r/>
            <w:r>
              <w:rPr>
                <w:rFonts w:ascii="Aptos" w:hAnsi="Aptos"/>
                <w:b/>
                <w:color w:val="FFFFFF"/>
                <w:sz w:val="18"/>
              </w:rPr>
              <w:t>Package</w:t>
            </w:r>
          </w:p>
        </w:tc>
        <w:tc>
          <w:tcPr>
            <w:tcW w:type="dxa" w:w="4536"/>
            <w:vAlign w:val="center"/>
            <w:shd w:fill="17365D"/>
          </w:tcPr>
          <w:p>
            <w:pPr>
              <w:spacing w:after="20"/>
            </w:pPr>
            <w:r/>
            <w:r>
              <w:rPr>
                <w:rFonts w:ascii="Aptos" w:hAnsi="Aptos"/>
                <w:b/>
                <w:color w:val="FFFFFF"/>
                <w:sz w:val="18"/>
              </w:rPr>
              <w:t>Scope</w:t>
            </w:r>
          </w:p>
        </w:tc>
        <w:tc>
          <w:tcPr>
            <w:tcW w:type="dxa" w:w="3024"/>
            <w:vAlign w:val="center"/>
            <w:shd w:fill="17365D"/>
          </w:tcPr>
          <w:p>
            <w:pPr>
              <w:spacing w:after="20"/>
            </w:pPr>
            <w:r/>
            <w:r>
              <w:rPr>
                <w:rFonts w:ascii="Aptos" w:hAnsi="Aptos"/>
                <w:b/>
                <w:color w:val="FFFFFF"/>
                <w:sz w:val="18"/>
              </w:rPr>
              <w:t>Done when</w:t>
            </w:r>
          </w:p>
        </w:tc>
      </w:tr>
      <w:tr>
        <w:tc>
          <w:tcPr>
            <w:tcW w:type="dxa" w:w="2088"/>
            <w:vAlign w:val="center"/>
          </w:tcPr>
          <w:p>
            <w:pPr>
              <w:spacing w:after="20"/>
            </w:pPr>
            <w:r/>
            <w:r>
              <w:rPr>
                <w:rFonts w:ascii="Aptos" w:hAnsi="Aptos"/>
                <w:b w:val="0"/>
                <w:sz w:val="17"/>
              </w:rPr>
              <w:t>C1 Evaluation and split design</w:t>
            </w:r>
          </w:p>
        </w:tc>
        <w:tc>
          <w:tcPr>
            <w:tcW w:type="dxa" w:w="4536"/>
            <w:vAlign w:val="center"/>
          </w:tcPr>
          <w:p>
            <w:pPr>
              <w:spacing w:after="20"/>
            </w:pPr>
            <w:r/>
            <w:r>
              <w:rPr>
                <w:rFonts w:ascii="Aptos" w:hAnsi="Aptos"/>
                <w:b w:val="0"/>
                <w:sz w:val="17"/>
              </w:rPr>
              <w:t>Specify grouping by resume/query, train/validation/test boundaries, locked-test handling, relevance labels, and leakage checks across sources.</w:t>
            </w:r>
          </w:p>
        </w:tc>
        <w:tc>
          <w:tcPr>
            <w:tcW w:type="dxa" w:w="3024"/>
            <w:vAlign w:val="center"/>
          </w:tcPr>
          <w:p>
            <w:pPr>
              <w:spacing w:after="20"/>
            </w:pPr>
            <w:r/>
            <w:r>
              <w:rPr>
                <w:rFonts w:ascii="Aptos" w:hAnsi="Aptos"/>
                <w:b w:val="0"/>
                <w:sz w:val="17"/>
              </w:rPr>
              <w:t>A short protocol defines exactly what may be used for training, tuning, and final reporting.</w:t>
            </w:r>
          </w:p>
        </w:tc>
      </w:tr>
      <w:tr>
        <w:tc>
          <w:tcPr>
            <w:tcW w:type="dxa" w:w="2088"/>
            <w:vAlign w:val="center"/>
          </w:tcPr>
          <w:p>
            <w:pPr>
              <w:spacing w:after="20"/>
            </w:pPr>
            <w:r/>
            <w:r>
              <w:rPr>
                <w:rFonts w:ascii="Aptos" w:hAnsi="Aptos"/>
                <w:b w:val="0"/>
                <w:sz w:val="17"/>
              </w:rPr>
              <w:t>C2 Semantic ranking design review</w:t>
            </w:r>
          </w:p>
        </w:tc>
        <w:tc>
          <w:tcPr>
            <w:tcW w:type="dxa" w:w="4536"/>
            <w:vAlign w:val="center"/>
          </w:tcPr>
          <w:p>
            <w:pPr>
              <w:spacing w:after="20"/>
            </w:pPr>
            <w:r/>
            <w:r>
              <w:rPr>
                <w:rFonts w:ascii="Aptos" w:hAnsi="Aptos"/>
                <w:b w:val="0"/>
                <w:sz w:val="17"/>
              </w:rPr>
              <w:t>Review the embedding retrieval and re-ranker feature contract; identify invalid assumptions, data-shape issues, and ranking pitfalls; recommend bounded fixes.</w:t>
            </w:r>
          </w:p>
        </w:tc>
        <w:tc>
          <w:tcPr>
            <w:tcW w:type="dxa" w:w="3024"/>
            <w:vAlign w:val="center"/>
          </w:tcPr>
          <w:p>
            <w:pPr>
              <w:spacing w:after="20"/>
            </w:pPr>
            <w:r/>
            <w:r>
              <w:rPr>
                <w:rFonts w:ascii="Aptos" w:hAnsi="Aptos"/>
                <w:b w:val="0"/>
                <w:sz w:val="17"/>
              </w:rPr>
              <w:t>A concise review checklist is resolved before the semantic model is treated as final.</w:t>
            </w:r>
          </w:p>
        </w:tc>
      </w:tr>
      <w:tr>
        <w:tc>
          <w:tcPr>
            <w:tcW w:type="dxa" w:w="2088"/>
            <w:vAlign w:val="center"/>
          </w:tcPr>
          <w:p>
            <w:pPr>
              <w:spacing w:after="20"/>
            </w:pPr>
            <w:r/>
            <w:r>
              <w:rPr>
                <w:rFonts w:ascii="Aptos" w:hAnsi="Aptos"/>
                <w:b w:val="0"/>
                <w:sz w:val="17"/>
              </w:rPr>
              <w:t>C3 Skill matching and explanation edge cases</w:t>
            </w:r>
          </w:p>
        </w:tc>
        <w:tc>
          <w:tcPr>
            <w:tcW w:type="dxa" w:w="4536"/>
            <w:vAlign w:val="center"/>
          </w:tcPr>
          <w:p>
            <w:pPr>
              <w:spacing w:after="20"/>
            </w:pPr>
            <w:r/>
            <w:r>
              <w:rPr>
                <w:rFonts w:ascii="Aptos" w:hAnsi="Aptos"/>
                <w:b w:val="0"/>
                <w:sz w:val="17"/>
              </w:rPr>
              <w:t>Review normalization, aliases, phrase matching, required versus preferred skills, and truthful score explanations. Provide a small set of representative edge cases.</w:t>
            </w:r>
          </w:p>
        </w:tc>
        <w:tc>
          <w:tcPr>
            <w:tcW w:type="dxa" w:w="3024"/>
            <w:vAlign w:val="center"/>
          </w:tcPr>
          <w:p>
            <w:pPr>
              <w:spacing w:after="20"/>
            </w:pPr>
            <w:r/>
            <w:r>
              <w:rPr>
                <w:rFonts w:ascii="Aptos" w:hAnsi="Aptos"/>
                <w:b w:val="0"/>
                <w:sz w:val="17"/>
              </w:rPr>
              <w:t>The matcher handles agreed cases and never claims a skill is present without evidence in the text.</w:t>
            </w:r>
          </w:p>
        </w:tc>
      </w:tr>
      <w:tr>
        <w:tc>
          <w:tcPr>
            <w:tcW w:type="dxa" w:w="2088"/>
            <w:vAlign w:val="center"/>
          </w:tcPr>
          <w:p>
            <w:pPr>
              <w:spacing w:after="20"/>
            </w:pPr>
            <w:r/>
            <w:r>
              <w:rPr>
                <w:rFonts w:ascii="Aptos" w:hAnsi="Aptos"/>
                <w:b w:val="0"/>
                <w:sz w:val="17"/>
              </w:rPr>
              <w:t>C4 Privacy and fairness review</w:t>
            </w:r>
          </w:p>
        </w:tc>
        <w:tc>
          <w:tcPr>
            <w:tcW w:type="dxa" w:w="4536"/>
            <w:vAlign w:val="center"/>
          </w:tcPr>
          <w:p>
            <w:pPr>
              <w:spacing w:after="20"/>
            </w:pPr>
            <w:r/>
            <w:r>
              <w:rPr>
                <w:rFonts w:ascii="Aptos" w:hAnsi="Aptos"/>
                <w:b w:val="0"/>
                <w:sz w:val="17"/>
              </w:rPr>
              <w:t>Review resume retention, logging, deletion behavior, personal-data removal, and the name/gender swap check design.</w:t>
            </w:r>
          </w:p>
        </w:tc>
        <w:tc>
          <w:tcPr>
            <w:tcW w:type="dxa" w:w="3024"/>
            <w:vAlign w:val="center"/>
          </w:tcPr>
          <w:p>
            <w:pPr>
              <w:spacing w:after="20"/>
            </w:pPr>
            <w:r/>
            <w:r>
              <w:rPr>
                <w:rFonts w:ascii="Aptos" w:hAnsi="Aptos"/>
                <w:b w:val="0"/>
                <w:sz w:val="17"/>
              </w:rPr>
              <w:t>A short implementation checklist states what is stored, what is removed, and what the fairness check can and cannot conclude.</w:t>
            </w:r>
          </w:p>
        </w:tc>
      </w:tr>
      <w:tr>
        <w:tc>
          <w:tcPr>
            <w:tcW w:type="dxa" w:w="2088"/>
            <w:vAlign w:val="center"/>
          </w:tcPr>
          <w:p>
            <w:pPr>
              <w:spacing w:after="20"/>
            </w:pPr>
            <w:r/>
            <w:r>
              <w:rPr>
                <w:rFonts w:ascii="Aptos" w:hAnsi="Aptos"/>
                <w:b w:val="0"/>
                <w:sz w:val="17"/>
              </w:rPr>
              <w:t>C5 Metrics and claims review</w:t>
            </w:r>
          </w:p>
        </w:tc>
        <w:tc>
          <w:tcPr>
            <w:tcW w:type="dxa" w:w="4536"/>
            <w:vAlign w:val="center"/>
          </w:tcPr>
          <w:p>
            <w:pPr>
              <w:spacing w:after="20"/>
            </w:pPr>
            <w:r/>
            <w:r>
              <w:rPr>
                <w:rFonts w:ascii="Aptos" w:hAnsi="Aptos"/>
                <w:b w:val="0"/>
                <w:sz w:val="17"/>
              </w:rPr>
              <w:t>Check metric definitions, baseline comparisons, confidence limitations, and wording of portfolio claims against actual results.</w:t>
            </w:r>
          </w:p>
        </w:tc>
        <w:tc>
          <w:tcPr>
            <w:tcW w:type="dxa" w:w="3024"/>
            <w:vAlign w:val="center"/>
          </w:tcPr>
          <w:p>
            <w:pPr>
              <w:spacing w:after="20"/>
            </w:pPr>
            <w:r/>
            <w:r>
              <w:rPr>
                <w:rFonts w:ascii="Aptos" w:hAnsi="Aptos"/>
                <w:b w:val="0"/>
                <w:sz w:val="17"/>
              </w:rPr>
              <w:t>Published claims match logged runs and clearly describe the small hand-labelled set.</w:t>
            </w:r>
          </w:p>
        </w:tc>
      </w:tr>
    </w:tbl>
    <w:p>
      <w:pPr>
        <w:spacing w:after="0"/>
      </w:pPr>
    </w:p>
    <w:p>
      <w:pPr>
        <w:pStyle w:val="Heading1"/>
      </w:pPr>
      <w:r>
        <w:t>Suggested sequence</w:t>
      </w:r>
    </w:p>
    <w:p>
      <w:pPr>
        <w:pStyle w:val="ListNumber"/>
        <w:spacing w:after="40"/>
      </w:pPr>
      <w:r>
        <w:t>Owner writes the shared data schema, ranking interface, and repository conventions before parallel implementation starts.</w:t>
      </w:r>
    </w:p>
    <w:p>
      <w:pPr>
        <w:pStyle w:val="ListNumber"/>
        <w:spacing w:after="40"/>
      </w:pPr>
      <w:r>
        <w:t>Gemini begins G1 and G2. Claude completes C1 early so the split and evaluation rules are settled before model comparisons.</w:t>
      </w:r>
    </w:p>
    <w:p>
      <w:pPr>
        <w:pStyle w:val="ListNumber"/>
        <w:spacing w:after="40"/>
      </w:pPr>
      <w:r>
        <w:t>Gemini builds G3 against a stub ranking function. Claude reviews C2 and C3 while the app integration is underway.</w:t>
      </w:r>
    </w:p>
    <w:p>
      <w:pPr>
        <w:pStyle w:val="ListNumber"/>
        <w:spacing w:after="40"/>
      </w:pPr>
      <w:r>
        <w:t>Gemini completes G4 and G5 after the API and UI contracts stabilize. Claude completes C4 and C5 against the actual implementation and logged results.</w:t>
      </w:r>
    </w:p>
    <w:p>
      <w:pPr>
        <w:pStyle w:val="ListNumber"/>
        <w:spacing w:after="40"/>
      </w:pPr>
      <w:r>
        <w:t>Owner integrates, resolves conflicts, runs the chosen checks, verifies the live demo, and approves every public performance or privacy claim.</w:t>
      </w:r>
    </w:p>
    <w:p>
      <w:pPr>
        <w:pStyle w:val="Heading1"/>
      </w:pPr>
      <w:r>
        <w:t>Handoff rules</w:t>
      </w:r>
    </w:p>
    <w:p>
      <w:pPr>
        <w:pStyle w:val="ListBullet"/>
        <w:spacing w:after="40"/>
      </w:pPr>
      <w:r>
        <w:t>One task, one owner: the owner edits the assigned files; the other model reviews by giving findings or a patch proposal, avoiding simultaneous edits to the same module.</w:t>
      </w:r>
    </w:p>
    <w:p>
      <w:pPr>
        <w:pStyle w:val="ListBullet"/>
        <w:spacing w:after="40"/>
      </w:pPr>
      <w:r>
        <w:t>Every handoff includes changed files, how to run the work, assumptions, known limitations, and the next decision needed.</w:t>
      </w:r>
    </w:p>
    <w:p>
      <w:pPr>
        <w:pStyle w:val="ListBullet"/>
        <w:spacing w:after="40"/>
      </w:pPr>
      <w:r>
        <w:t>Use shared contracts: clean-data schema, ranking function signature, API payloads, and metric definitions live in the repository and are referenced by both models.</w:t>
      </w:r>
    </w:p>
    <w:p>
      <w:pPr>
        <w:pStyle w:val="ListBullet"/>
        <w:spacing w:after="40"/>
      </w:pPr>
      <w:r>
        <w:t>Keep evaluation data locked. Neither model may tune on the final hand-labelled test set; only the owner runs the final evaluation after the protocol is frozen.</w:t>
      </w:r>
    </w:p>
    <w:p>
      <w:pPr>
        <w:pStyle w:val="ListBullet"/>
        <w:spacing w:after="40"/>
      </w:pPr>
      <w:r>
        <w:t>Ask each model to flag scope changes instead of silently adding features. The minimum viable release remains the priority if the schedule slips.</w:t>
      </w:r>
    </w:p>
    <w:p>
      <w:pPr>
        <w:pStyle w:val="Heading1"/>
      </w:pPr>
      <w:r>
        <w:t>Reusable task prompt</w:t>
      </w:r>
    </w:p>
    <w:p>
      <w:pPr>
        <w:ind w:left="259" w:right="259"/>
      </w:pPr>
      <w:r>
        <w:rPr>
          <w:i/>
          <w:sz w:val="18"/>
        </w:rPr>
        <w:t>Project: Resume-to-Job Matcher. Your assigned package is [ID and name]. Read the current schema and interfaces first. Work only within this package. Deliver: (1) changed files or a written review, (2) exact run instructions, (3) assumptions and limitations, (4) acceptance criteria met or unmet, and (5) any integration decisions the owner must make. Do not use the locked final test set for tuning or make unsupported performance claims.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Resume Matcher Work Split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7C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