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2A4A" w:val="clear"/>
            <w:tcMar>
              <w:top w:type="dxa" w:w="480"/>
              <w:left w:type="dxa" w:w="480"/>
              <w:bottom w:type="dxa" w:w="480"/>
              <w:right w:type="dxa" w:w="480"/>
            </w:tcMar>
          </w:tcPr>
          <w:p>
            <w:pPr>
              <w:spacing w:after="160" w:before="0"/>
            </w:pPr>
            <w:r>
              <w:rPr>
                <w:rFonts w:ascii="Arial" w:cs="Arial" w:eastAsia="Arial" w:hAnsi="Arial"/>
                <w:b/>
                <w:bCs/>
                <w:color w:val="C4A25B"/>
                <w:spacing w:val="80"/>
                <w:sz w:val="18"/>
                <w:szCs w:val="18"/>
              </w:rPr>
              <w:t xml:space="preserve">PARADIGM ASSET MANAGEMENT</w:t>
            </w:r>
          </w:p>
          <w:p>
            <w:pPr>
              <w:spacing w:after="60" w:before="0"/>
            </w:pPr>
            <w:r>
              <w:rPr>
                <w:rFonts w:ascii="Arial" w:cs="Arial" w:eastAsia="Arial" w:hAnsi="Arial"/>
                <w:b/>
                <w:bCs/>
                <w:color w:val="FFFFFF"/>
                <w:sz w:val="48"/>
                <w:szCs w:val="48"/>
              </w:rPr>
              <w:t xml:space="preserve">Website Rebuild</w:t>
            </w:r>
          </w:p>
          <w:p>
            <w:pPr>
              <w:spacing w:after="360" w:before="0"/>
            </w:pPr>
            <w:r>
              <w:rPr>
                <w:rFonts w:ascii="Arial" w:cs="Arial" w:eastAsia="Arial" w:hAnsi="Arial"/>
                <w:color w:val="DDDDDD"/>
                <w:sz w:val="22"/>
                <w:szCs w:val="22"/>
              </w:rPr>
              <w:t xml:space="preserve">Architecture &amp; Developer Brief  ·  May 2026</w:t>
            </w:r>
          </w:p>
          <w:p>
            <w:pPr>
              <w:spacing w:after="280" w:before="0"/>
            </w:pPr>
            <w:r>
              <w:rPr>
                <w:rFonts w:ascii="Arial" w:cs="Arial" w:eastAsia="Arial" w:hAnsi="Arial"/>
                <w:color w:val="C4A25B"/>
                <w:sz w:val="28"/>
                <w:szCs w:val="28"/>
              </w:rPr>
              <w:t xml:space="preserve">—</w:t>
            </w:r>
          </w:p>
          <w:p>
            <w:pPr>
              <w:spacing w:after="60" w:before="0"/>
            </w:pPr>
            <w:r>
              <w:rPr>
                <w:rFonts w:ascii="Arial" w:cs="Arial" w:eastAsia="Arial" w:hAnsi="Arial"/>
                <w:color w:val="AAAAAA"/>
                <w:sz w:val="18"/>
                <w:szCs w:val="18"/>
              </w:rPr>
              <w:t xml:space="preserve">One brand. One site. Three audiences. Built in React.</w:t>
            </w:r>
          </w:p>
          <w:p>
            <w:pPr>
              <w:spacing w:after="60" w:before="0"/>
            </w:pPr>
            <w:r>
              <w:rPr>
                <w:rFonts w:ascii="Arial" w:cs="Arial" w:eastAsia="Arial" w:hAnsi="Arial"/>
                <w:color w:val="AAAAAA"/>
                <w:sz w:val="18"/>
                <w:szCs w:val="18"/>
              </w:rPr>
              <w:t xml:space="preserve">Migrating to paradigmasset.com on completion.</w:t>
            </w:r>
          </w:p>
          <w:p>
            <w:pPr>
              <w:spacing w:after="320" w:before="0"/>
            </w:pPr>
            <w:r>
              <w:rPr>
                <w:rFonts w:ascii="Arial" w:cs="Arial" w:eastAsia="Arial" w:hAnsi="Arial"/>
                <w:color w:val="AAAAAA"/>
                <w:sz w:val="18"/>
                <w:szCs w:val="18"/>
              </w:rPr>
              <w:t xml:space="preserve">Timeline: before Sopro campaign drives significant inbound traffic.</w:t>
            </w:r>
          </w:p>
          <w:p>
            <w:pPr>
              <w:spacing w:after="0" w:before="0"/>
            </w:pPr>
            <w:r>
              <w:rPr>
                <w:rFonts w:ascii="Arial" w:cs="Arial" w:eastAsia="Arial" w:hAnsi="Arial"/>
                <w:color w:val="666666"/>
                <w:sz w:val="15"/>
                <w:szCs w:val="15"/>
              </w:rPr>
              <w:t xml:space="preserve">May 2026  ·  Confidential</w:t>
            </w:r>
          </w:p>
        </w:tc>
      </w:tr>
    </w:tbl>
    <w:p>
      <w:pPr>
        <w:spacing w:after="280" w:before="32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2A4A" w:val="clear"/>
            <w:tcMar>
              <w:top w:type="dxa" w:w="180"/>
              <w:left w:type="dxa" w:w="320"/>
              <w:bottom w:type="dxa" w:w="180"/>
              <w:right w:type="dxa" w:w="320"/>
            </w:tcMar>
          </w:tcPr>
          <w:p>
            <w:pPr>
              <w:spacing w:after="70" w:before="0"/>
            </w:pPr>
            <w:r>
              <w:rPr>
                <w:rFonts w:ascii="Arial" w:cs="Arial" w:eastAsia="Arial" w:hAnsi="Arial"/>
                <w:b/>
                <w:bCs/>
                <w:color w:val="C4A25B"/>
                <w:spacing w:val="80"/>
                <w:sz w:val="16"/>
                <w:szCs w:val="16"/>
              </w:rPr>
              <w:t xml:space="preserve">SECTION 01</w:t>
            </w:r>
          </w:p>
          <w:p>
            <w:pPr>
              <w:spacing w:after="70" w:before="0"/>
            </w:pPr>
            <w:r>
              <w:rPr>
                <w:rFonts w:ascii="Arial" w:cs="Arial" w:eastAsia="Arial" w:hAnsi="Arial"/>
                <w:b/>
                <w:bCs/>
                <w:color w:val="FFFFFF"/>
                <w:sz w:val="30"/>
                <w:szCs w:val="30"/>
              </w:rPr>
              <w:t xml:space="preserve">Immediate Actions</w:t>
            </w:r>
          </w:p>
          <w:p>
            <w:pPr>
              <w:spacing w:after="0" w:before="0"/>
            </w:pPr>
            <w:r>
              <w:rPr>
                <w:rFonts w:ascii="Arial" w:cs="Arial" w:eastAsia="Arial" w:hAnsi="Arial"/>
                <w:color w:val="BBBBBB"/>
                <w:sz w:val="18"/>
                <w:szCs w:val="18"/>
              </w:rPr>
              <w:t xml:space="preserve">Fix these on the existing sites before the React build is complete</w:t>
            </w:r>
          </w:p>
        </w:tc>
      </w:tr>
    </w:tbl>
    <w:p>
      <w:pPr>
        <w:spacing w:after="0" w:before="220"/>
      </w:pPr>
      <w:r>
        <w:t xml:space="preserve"/>
      </w:r>
    </w:p>
    <w:p>
      <w:pPr>
        <w:spacing w:after="160" w:before="0"/>
      </w:pPr>
      <w:r>
        <w:rPr>
          <w:rFonts w:ascii="Arial" w:cs="Arial" w:eastAsia="Arial" w:hAnsi="Arial"/>
          <w:b w:val="false"/>
          <w:bCs w:val="false"/>
          <w:color w:val="2C2C2C"/>
          <w:sz w:val="20"/>
          <w:szCs w:val="20"/>
        </w:rPr>
        <w:t xml:space="preserve">The Sopro campaign is already driving traffic to paradigmasset.com and paasinvest.com. Both sites have issues that will damage credibility with every visitor before the new site is live. These are not design fixes — they are content emergencies.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A2020" w:sz="10"/>
              <w:left w:val="single" w:color="7A2020" w:sz="24"/>
              <w:bottom w:val="none" w:color="FFFFFF" w:sz="0"/>
              <w:right w:val="none" w:color="FFFFFF" w:sz="0"/>
            </w:tcBorders>
            <w:shd w:fill="FDF0F0" w:val="clear"/>
            <w:tcMar>
              <w:top w:type="dxa" w:w="120"/>
              <w:left w:type="dxa" w:w="200"/>
              <w:bottom w:type="dxa" w:w="140"/>
              <w:right w:type="dxa" w:w="200"/>
            </w:tcMar>
          </w:tcPr>
          <w:p>
            <w:pPr>
              <w:spacing w:after="80" w:before="0"/>
            </w:pPr>
            <w:r>
              <w:rPr>
                <w:rFonts w:ascii="Arial" w:cs="Arial" w:eastAsia="Arial" w:hAnsi="Arial"/>
                <w:b/>
                <w:bCs/>
                <w:color w:val="7A2020"/>
                <w:sz w:val="15"/>
                <w:szCs w:val="15"/>
              </w:rPr>
              <w:t xml:space="preserve">URGENT — FIX BEFORE SOPRO DRIVES TRAFFIC</w:t>
            </w:r>
          </w:p>
          <w:p>
            <w:pPr>
              <w:spacing w:after="40" w:before="0"/>
            </w:pPr>
            <w:r>
              <w:rPr>
                <w:rFonts w:ascii="Arial" w:cs="Arial" w:eastAsia="Arial" w:hAnsi="Arial"/>
                <w:color w:val="2C2C2C"/>
                <w:sz w:val="19"/>
                <w:szCs w:val="19"/>
              </w:rPr>
              <w:t xml:space="preserve">paasinvest.com — Remove the fake testimonials immediately. 'Senior Portfolio Manager, Leading Family Office' and 'Chief Executive Officer, $20 Billion Wealth Advisor' are placeholder demo content from the WordPress theme. Any advisor or MFO who visits this site will immediately recognize fabricated testimonials and lose confidence.</w:t>
            </w:r>
          </w:p>
          <w:p>
            <w:pPr>
              <w:spacing w:after="40" w:before="0"/>
            </w:pPr>
            <w:r>
              <w:rPr>
                <w:rFonts w:ascii="Arial" w:cs="Arial" w:eastAsia="Arial" w:hAnsi="Arial"/>
                <w:color w:val="2C2C2C"/>
                <w:sz w:val="19"/>
                <w:szCs w:val="19"/>
              </w:rPr>
              <w:t xml:space="preserve">paasinvest.com — Replace the placeholder contact information. '800 100 975 20 34,' 'Str. First Avenue 1,' and 'neuros@mail.co' are WordPress theme defaults still live on the site. Anyone trying to reach Paradigm through this site gets nothing.</w:t>
            </w:r>
          </w:p>
          <w:p>
            <w:pPr>
              <w:spacing w:after="40" w:before="0"/>
            </w:pPr>
            <w:r>
              <w:rPr>
                <w:rFonts w:ascii="Arial" w:cs="Arial" w:eastAsia="Arial" w:hAnsi="Arial"/>
                <w:color w:val="2C2C2C"/>
                <w:sz w:val="19"/>
                <w:szCs w:val="19"/>
              </w:rPr>
              <w:t xml:space="preserve">paradigmasset.com — Update the copyright from 2021 to 2026.</w:t>
            </w:r>
          </w:p>
          <w:p>
            <w:pPr>
              <w:spacing w:after="40" w:before="0"/>
            </w:pPr>
            <w:r>
              <w:rPr>
                <w:rFonts w:ascii="Arial" w:cs="Arial" w:eastAsia="Arial" w:hAnsi="Arial"/>
                <w:color w:val="2C2C2C"/>
                <w:sz w:val="19"/>
                <w:szCs w:val="19"/>
              </w:rPr>
              <w:t xml:space="preserve">paradigmasset.com — Update James Francis's title from 'President and CEO' to 'Founder and CEO.'</w:t>
            </w:r>
          </w:p>
          <w:p>
            <w:pPr>
              <w:spacing w:after="40" w:before="0"/>
            </w:pPr>
            <w:r>
              <w:rPr>
                <w:rFonts w:ascii="Arial" w:cs="Arial" w:eastAsia="Arial" w:hAnsi="Arial"/>
                <w:color w:val="2C2C2C"/>
                <w:sz w:val="19"/>
                <w:szCs w:val="19"/>
              </w:rPr>
              <w:t xml:space="preserve">Both sites — Add a simple statement directing visitors to the correct contact: jef@paradigmasset.com and 917-991-3348.</w:t>
            </w:r>
          </w:p>
        </w:tc>
      </w:tr>
    </w:tbl>
    <w:p>
      <w:pPr>
        <w:spacing w:after="0" w:before="20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2A4A" w:val="clear"/>
            <w:tcMar>
              <w:top w:type="dxa" w:w="180"/>
              <w:left w:type="dxa" w:w="320"/>
              <w:bottom w:type="dxa" w:w="180"/>
              <w:right w:type="dxa" w:w="320"/>
            </w:tcMar>
          </w:tcPr>
          <w:p>
            <w:pPr>
              <w:spacing w:after="70" w:before="0"/>
            </w:pPr>
            <w:r>
              <w:rPr>
                <w:rFonts w:ascii="Arial" w:cs="Arial" w:eastAsia="Arial" w:hAnsi="Arial"/>
                <w:b/>
                <w:bCs/>
                <w:color w:val="C4A25B"/>
                <w:spacing w:val="80"/>
                <w:sz w:val="16"/>
                <w:szCs w:val="16"/>
              </w:rPr>
              <w:t xml:space="preserve">SECTION 02</w:t>
            </w:r>
          </w:p>
          <w:p>
            <w:pPr>
              <w:spacing w:after="70" w:before="0"/>
            </w:pPr>
            <w:r>
              <w:rPr>
                <w:rFonts w:ascii="Arial" w:cs="Arial" w:eastAsia="Arial" w:hAnsi="Arial"/>
                <w:b/>
                <w:bCs/>
                <w:color w:val="FFFFFF"/>
                <w:sz w:val="30"/>
                <w:szCs w:val="30"/>
              </w:rPr>
              <w:t xml:space="preserve">Strategic Brief</w:t>
            </w:r>
          </w:p>
          <w:p>
            <w:pPr>
              <w:spacing w:after="0" w:before="0"/>
            </w:pPr>
            <w:r>
              <w:rPr>
                <w:rFonts w:ascii="Arial" w:cs="Arial" w:eastAsia="Arial" w:hAnsi="Arial"/>
                <w:color w:val="BBBBBB"/>
                <w:sz w:val="18"/>
                <w:szCs w:val="18"/>
              </w:rPr>
              <w:t xml:space="preserve">What the site must do and for whom</w:t>
            </w:r>
          </w:p>
        </w:tc>
      </w:tr>
    </w:tbl>
    <w:p>
      <w:pPr>
        <w:spacing w:after="0" w:before="220"/>
      </w:pPr>
      <w:r>
        <w:t xml:space="preserve"/>
      </w:r>
    </w:p>
    <w:p>
      <w:pPr>
        <w:spacing w:after="160" w:before="0"/>
      </w:pPr>
      <w:r>
        <w:rPr>
          <w:rFonts w:ascii="Arial" w:cs="Arial" w:eastAsia="Arial" w:hAnsi="Arial"/>
          <w:b w:val="false"/>
          <w:bCs w:val="false"/>
          <w:color w:val="2C2C2C"/>
          <w:sz w:val="20"/>
          <w:szCs w:val="20"/>
        </w:rPr>
        <w:t xml:space="preserve">The new Paradigm site has one job: when a prospect arrives — whether from a Sopro email, a Gladstone conference conversation, or a Google search — the site must make them feel that what Paradigm does is real, differentiated, and worth a conversation. Every page serves that single goal.</w:t>
      </w:r>
    </w:p>
    <w:p>
      <w:pPr>
        <w:pStyle w:val="Heading2"/>
        <w:spacing w:after="100" w:before="320"/>
      </w:pPr>
      <w:r>
        <w:rPr>
          <w:rFonts w:ascii="Arial" w:cs="Arial" w:eastAsia="Arial" w:hAnsi="Arial"/>
          <w:b/>
          <w:bCs/>
          <w:color w:val="1B2A4A"/>
          <w:sz w:val="28"/>
          <w:szCs w:val="28"/>
        </w:rPr>
        <w:t xml:space="preserve">Brand Decision</w:t>
      </w:r>
    </w:p>
    <w:p>
      <w:pPr>
        <w:spacing w:after="200" w:before="0"/>
      </w:pPr>
      <w:r>
        <w:rPr>
          <w:rFonts w:ascii="Arial" w:cs="Arial" w:eastAsia="Arial" w:hAnsi="Arial"/>
          <w:b w:val="false"/>
          <w:bCs w:val="false"/>
          <w:color w:val="2C2C2C"/>
          <w:sz w:val="20"/>
          <w:szCs w:val="20"/>
        </w:rPr>
        <w:t xml:space="preserve">PaaS Invest dies as a separate brand. paasinvest.com redirects to paradigmasset.com on launch. PaaS becomes a product or service described within the Paradigm site. Everything lives under one brand: Paradigm Asset Management.</w:t>
      </w:r>
    </w:p>
    <w:p>
      <w:pPr>
        <w:pStyle w:val="Heading2"/>
        <w:spacing w:after="100" w:before="320"/>
      </w:pPr>
      <w:r>
        <w:rPr>
          <w:rFonts w:ascii="Arial" w:cs="Arial" w:eastAsia="Arial" w:hAnsi="Arial"/>
          <w:b/>
          <w:bCs/>
          <w:color w:val="1B2A4A"/>
          <w:sz w:val="28"/>
          <w:szCs w:val="28"/>
        </w:rPr>
        <w:t xml:space="preserve">Three Audiences, One Entry Point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EEEDF0" w:val="clear"/>
            <w:tcMar>
              <w:top w:type="dxa" w:w="80"/>
              <w:left w:type="dxa" w:w="120"/>
              <w:bottom w:type="dxa" w:w="80"/>
              <w:right w:type="dxa" w:w="120"/>
            </w:tcMar>
          </w:tcPr>
          <w:p>
            <w:r>
              <w:rPr>
                <w:rFonts w:ascii="Arial" w:cs="Arial" w:eastAsia="Arial" w:hAnsi="Arial"/>
                <w:b/>
                <w:bCs/>
                <w:color w:val="1B2A4A"/>
                <w:sz w:val="18"/>
                <w:szCs w:val="18"/>
              </w:rPr>
              <w:t xml:space="preserve">Wealth Advisors
&amp; MFOs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Arriving from Sopro emails or conference conversations. Skeptical. Need to see that Paradigm is real, that the PaaS offering is credible, and that the 35-year track record makes this different from every other platform they have been pitched. Primary goal: book a 20-minute call.</w:t>
            </w:r>
          </w:p>
        </w:tc>
      </w:tr>
      <w:tr>
        <w:tc>
          <w:tcPr>
            <w:tcW w:type="dxa" w:w="2400"/>
            <w:tcBorders>
              <w:top w:val="single" w:color="CCCCCC" w:sz="1"/>
              <w:left w:val="single" w:color="CCCCCC" w:sz="1"/>
              <w:bottom w:val="single" w:color="CCCCCC" w:sz="1"/>
              <w:right w:val="single" w:color="CCCCCC" w:sz="1"/>
            </w:tcBorders>
            <w:shd w:fill="EEEDF0" w:val="clear"/>
            <w:tcMar>
              <w:top w:type="dxa" w:w="80"/>
              <w:left w:type="dxa" w:w="120"/>
              <w:bottom w:type="dxa" w:w="80"/>
              <w:right w:type="dxa" w:w="120"/>
            </w:tcMar>
          </w:tcPr>
          <w:p>
            <w:r>
              <w:rPr>
                <w:rFonts w:ascii="Arial" w:cs="Arial" w:eastAsia="Arial" w:hAnsi="Arial"/>
                <w:b/>
                <w:bCs/>
                <w:color w:val="1B2A4A"/>
                <w:sz w:val="18"/>
                <w:szCs w:val="18"/>
              </w:rPr>
              <w:t xml:space="preserve">Institutional &amp;
Strategic Partners</w:t>
            </w:r>
          </w:p>
        </w:tc>
        <w:tc>
          <w:tcPr>
            <w:tcW w:type="dxa" w:w="69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2C2C2C"/>
                <w:sz w:val="18"/>
                <w:szCs w:val="18"/>
              </w:rPr>
              <w:t xml:space="preserve">Gladstone contacts, Berkshire conversations, potential acquirers and strategic partners doing background research. Need to understand the full picture — the process, the institutional history, the commercial vision, the team. Primary goal: confirm Paradigm is worth a deeper conversation.</w:t>
            </w:r>
          </w:p>
        </w:tc>
      </w:tr>
      <w:tr>
        <w:tc>
          <w:tcPr>
            <w:tcW w:type="dxa" w:w="2400"/>
            <w:tcBorders>
              <w:top w:val="single" w:color="CCCCCC" w:sz="1"/>
              <w:left w:val="single" w:color="CCCCCC" w:sz="1"/>
              <w:bottom w:val="single" w:color="CCCCCC" w:sz="1"/>
              <w:right w:val="single" w:color="CCCCCC" w:sz="1"/>
            </w:tcBorders>
            <w:shd w:fill="EEEDF0" w:val="clear"/>
            <w:tcMar>
              <w:top w:type="dxa" w:w="80"/>
              <w:left w:type="dxa" w:w="120"/>
              <w:bottom w:type="dxa" w:w="80"/>
              <w:right w:type="dxa" w:w="120"/>
            </w:tcMar>
          </w:tcPr>
          <w:p>
            <w:r>
              <w:rPr>
                <w:rFonts w:ascii="Arial" w:cs="Arial" w:eastAsia="Arial" w:hAnsi="Arial"/>
                <w:b/>
                <w:bCs/>
                <w:color w:val="1B2A4A"/>
                <w:sz w:val="18"/>
                <w:szCs w:val="18"/>
              </w:rPr>
              <w:t xml:space="preserve">General Market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Press, potential employees, fintech partners, and anyone forming a first impression. Need to understand what Paradigm is and why it is different in under 60 seconds. Primary goal: create curiosity that leads to a contact.</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A7B3A" w:sz="10"/>
              <w:left w:val="single" w:color="1B2A4A" w:sz="24"/>
              <w:bottom w:val="none" w:color="FFFFFF" w:sz="0"/>
              <w:right w:val="none" w:color="FFFFFF" w:sz="0"/>
            </w:tcBorders>
            <w:shd w:fill="EEEDF0" w:val="clear"/>
            <w:tcMar>
              <w:top w:type="dxa" w:w="120"/>
              <w:left w:type="dxa" w:w="200"/>
              <w:bottom w:type="dxa" w:w="140"/>
              <w:right w:type="dxa" w:w="200"/>
            </w:tcMar>
          </w:tcPr>
          <w:p>
            <w:pPr>
              <w:spacing w:after="80" w:before="0"/>
            </w:pPr>
            <w:r>
              <w:rPr>
                <w:rFonts w:ascii="Arial" w:cs="Arial" w:eastAsia="Arial" w:hAnsi="Arial"/>
                <w:b/>
                <w:bCs/>
                <w:color w:val="1B2A4A"/>
                <w:sz w:val="15"/>
                <w:szCs w:val="15"/>
              </w:rPr>
              <w:t xml:space="preserve">THE SINGLE MOST IMPORTANT DESIGN PRINCIPLE</w:t>
            </w:r>
          </w:p>
          <w:p>
            <w:pPr>
              <w:spacing w:after="40" w:before="0"/>
            </w:pPr>
            <w:r>
              <w:rPr>
                <w:rFonts w:ascii="Arial" w:cs="Arial" w:eastAsia="Arial" w:hAnsi="Arial"/>
                <w:color w:val="2C2C2C"/>
                <w:sz w:val="19"/>
                <w:szCs w:val="19"/>
              </w:rPr>
              <w:t xml:space="preserve">The site must be consistent with the Sopro emails. When an advisor receives an email about sub-style migration and collective intelligence and then visits the site, the same story must be waiting for them. The current site breaks this connection entirely. The new site closes it.</w:t>
            </w:r>
          </w:p>
        </w:tc>
      </w:tr>
    </w:tbl>
    <w:p>
      <w:pPr>
        <w:spacing w:after="0" w:before="20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2A4A" w:val="clear"/>
            <w:tcMar>
              <w:top w:type="dxa" w:w="180"/>
              <w:left w:type="dxa" w:w="320"/>
              <w:bottom w:type="dxa" w:w="180"/>
              <w:right w:type="dxa" w:w="320"/>
            </w:tcMar>
          </w:tcPr>
          <w:p>
            <w:pPr>
              <w:spacing w:after="70" w:before="0"/>
            </w:pPr>
            <w:r>
              <w:rPr>
                <w:rFonts w:ascii="Arial" w:cs="Arial" w:eastAsia="Arial" w:hAnsi="Arial"/>
                <w:b/>
                <w:bCs/>
                <w:color w:val="C4A25B"/>
                <w:spacing w:val="80"/>
                <w:sz w:val="16"/>
                <w:szCs w:val="16"/>
              </w:rPr>
              <w:t xml:space="preserve">SECTION 03</w:t>
            </w:r>
          </w:p>
          <w:p>
            <w:pPr>
              <w:spacing w:after="70" w:before="0"/>
            </w:pPr>
            <w:r>
              <w:rPr>
                <w:rFonts w:ascii="Arial" w:cs="Arial" w:eastAsia="Arial" w:hAnsi="Arial"/>
                <w:b/>
                <w:bCs/>
                <w:color w:val="FFFFFF"/>
                <w:sz w:val="30"/>
                <w:szCs w:val="30"/>
              </w:rPr>
              <w:t xml:space="preserve">Site Architecture</w:t>
            </w:r>
          </w:p>
          <w:p>
            <w:pPr>
              <w:spacing w:after="0" w:before="0"/>
            </w:pPr>
            <w:r>
              <w:rPr>
                <w:rFonts w:ascii="Arial" w:cs="Arial" w:eastAsia="Arial" w:hAnsi="Arial"/>
                <w:color w:val="BBBBBB"/>
                <w:sz w:val="18"/>
                <w:szCs w:val="18"/>
              </w:rPr>
              <w:t xml:space="preserve">Page structure, paths, and navigation</w:t>
            </w:r>
          </w:p>
        </w:tc>
      </w:tr>
    </w:tbl>
    <w:p>
      <w:pPr>
        <w:spacing w:after="0" w:before="220"/>
      </w:pPr>
      <w:r>
        <w:t xml:space="preserve"/>
      </w:r>
    </w:p>
    <w:p>
      <w:pPr>
        <w:spacing w:after="160" w:before="0"/>
      </w:pPr>
      <w:r>
        <w:rPr>
          <w:rFonts w:ascii="Arial" w:cs="Arial" w:eastAsia="Arial" w:hAnsi="Arial"/>
          <w:b w:val="false"/>
          <w:bCs w:val="false"/>
          <w:color w:val="2C2C2C"/>
          <w:sz w:val="20"/>
          <w:szCs w:val="20"/>
        </w:rPr>
        <w:t xml:space="preserve">The site is a single-domain React application at paradigmasset.com. Navigation bifurcates by audience but every path anchors to the same 35-year firm. No sub-domains. No separate brand sites.</w:t>
      </w:r>
    </w:p>
    <w:p>
      <w:pPr>
        <w:pStyle w:val="Heading2"/>
        <w:spacing w:after="100" w:before="320"/>
      </w:pPr>
      <w:r>
        <w:rPr>
          <w:rFonts w:ascii="Arial" w:cs="Arial" w:eastAsia="Arial" w:hAnsi="Arial"/>
          <w:b/>
          <w:bCs/>
          <w:color w:val="1B2A4A"/>
          <w:sz w:val="28"/>
          <w:szCs w:val="28"/>
        </w:rPr>
        <w:t xml:space="preserve">Navigation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EEEDF0" w:val="clear"/>
            <w:tcMar>
              <w:top w:type="dxa" w:w="80"/>
              <w:left w:type="dxa" w:w="120"/>
              <w:bottom w:type="dxa" w:w="80"/>
              <w:right w:type="dxa" w:w="120"/>
            </w:tcMar>
          </w:tcPr>
          <w:p>
            <w:r>
              <w:rPr>
                <w:rFonts w:ascii="Arial" w:cs="Arial" w:eastAsia="Arial" w:hAnsi="Arial"/>
                <w:b/>
                <w:bCs/>
                <w:color w:val="1B2A4A"/>
                <w:sz w:val="18"/>
                <w:szCs w:val="18"/>
              </w:rPr>
              <w:t xml:space="preserve">Primary nav</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For Advisors (dropdown) | For Institutions | Our Process | About | Contact — six items total</w:t>
            </w:r>
          </w:p>
        </w:tc>
      </w:tr>
      <w:tr>
        <w:tc>
          <w:tcPr>
            <w:tcW w:type="dxa" w:w="2400"/>
            <w:tcBorders>
              <w:top w:val="single" w:color="CCCCCC" w:sz="1"/>
              <w:left w:val="single" w:color="CCCCCC" w:sz="1"/>
              <w:bottom w:val="single" w:color="CCCCCC" w:sz="1"/>
              <w:right w:val="single" w:color="CCCCCC" w:sz="1"/>
            </w:tcBorders>
            <w:shd w:fill="EEEDF0" w:val="clear"/>
            <w:tcMar>
              <w:top w:type="dxa" w:w="80"/>
              <w:left w:type="dxa" w:w="120"/>
              <w:bottom w:type="dxa" w:w="80"/>
              <w:right w:type="dxa" w:w="120"/>
            </w:tcMar>
          </w:tcPr>
          <w:p>
            <w:r>
              <w:rPr>
                <w:rFonts w:ascii="Arial" w:cs="Arial" w:eastAsia="Arial" w:hAnsi="Arial"/>
                <w:b/>
                <w:bCs/>
                <w:color w:val="1B2A4A"/>
                <w:sz w:val="18"/>
                <w:szCs w:val="18"/>
              </w:rPr>
              <w:t xml:space="preserve">For Advisors dropdown</w:t>
            </w:r>
          </w:p>
        </w:tc>
        <w:tc>
          <w:tcPr>
            <w:tcW w:type="dxa" w:w="69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2C2C2C"/>
                <w:sz w:val="18"/>
                <w:szCs w:val="18"/>
              </w:rPr>
              <w:t xml:space="preserve">Two sub-items: Wealth Advisors (/advisors) and Family Offices (/familyoffice). Six primary nav items total including the dropdown parent.</w:t>
            </w:r>
          </w:p>
        </w:tc>
      </w:tr>
      <w:tr>
        <w:tc>
          <w:tcPr>
            <w:tcW w:type="dxa" w:w="2400"/>
            <w:tcBorders>
              <w:top w:val="single" w:color="CCCCCC" w:sz="1"/>
              <w:left w:val="single" w:color="CCCCCC" w:sz="1"/>
              <w:bottom w:val="single" w:color="CCCCCC" w:sz="1"/>
              <w:right w:val="single" w:color="CCCCCC" w:sz="1"/>
            </w:tcBorders>
            <w:shd w:fill="EEEDF0" w:val="clear"/>
            <w:tcMar>
              <w:top w:type="dxa" w:w="80"/>
              <w:left w:type="dxa" w:w="120"/>
              <w:bottom w:type="dxa" w:w="80"/>
              <w:right w:type="dxa" w:w="120"/>
            </w:tcMar>
          </w:tcPr>
          <w:p>
            <w:r>
              <w:rPr>
                <w:rFonts w:ascii="Arial" w:cs="Arial" w:eastAsia="Arial" w:hAnsi="Arial"/>
                <w:b/>
                <w:bCs/>
                <w:color w:val="1B2A4A"/>
                <w:sz w:val="18"/>
                <w:szCs w:val="18"/>
              </w:rPr>
              <w:t xml:space="preserve">Mobile nav</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Hamburger menu. Same five items. Advisor and Institution paths are the first two.</w:t>
            </w:r>
          </w:p>
        </w:tc>
      </w:tr>
      <w:tr>
        <w:tc>
          <w:tcPr>
            <w:tcW w:type="dxa" w:w="2400"/>
            <w:tcBorders>
              <w:top w:val="single" w:color="CCCCCC" w:sz="1"/>
              <w:left w:val="single" w:color="CCCCCC" w:sz="1"/>
              <w:bottom w:val="single" w:color="CCCCCC" w:sz="1"/>
              <w:right w:val="single" w:color="CCCCCC" w:sz="1"/>
            </w:tcBorders>
            <w:shd w:fill="EEEDF0" w:val="clear"/>
            <w:tcMar>
              <w:top w:type="dxa" w:w="80"/>
              <w:left w:type="dxa" w:w="120"/>
              <w:bottom w:type="dxa" w:w="80"/>
              <w:right w:type="dxa" w:w="120"/>
            </w:tcMar>
          </w:tcPr>
          <w:p>
            <w:r>
              <w:rPr>
                <w:rFonts w:ascii="Arial" w:cs="Arial" w:eastAsia="Arial" w:hAnsi="Arial"/>
                <w:b/>
                <w:bCs/>
                <w:color w:val="1B2A4A"/>
                <w:sz w:val="18"/>
                <w:szCs w:val="18"/>
              </w:rPr>
              <w:t xml:space="preserve">Footer</w:t>
            </w:r>
          </w:p>
        </w:tc>
        <w:tc>
          <w:tcPr>
            <w:tcW w:type="dxa" w:w="69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2C2C2C"/>
                <w:sz w:val="18"/>
                <w:szCs w:val="18"/>
              </w:rPr>
              <w:t xml:space="preserve">Strategies  |  Process  |  Team  |  Legal  |  Contact  |  © 2026 Paradigm Asset Management Co. LLC</w:t>
            </w:r>
          </w:p>
        </w:tc>
      </w:tr>
    </w:tbl>
    <w:p>
      <w:pPr>
        <w:spacing w:after="0" w:before="160"/>
      </w:pPr>
      <w:r>
        <w:t xml:space="preserve"/>
      </w:r>
    </w:p>
    <w:p>
      <w:pPr>
        <w:pStyle w:val="Heading2"/>
        <w:spacing w:after="100" w:before="320"/>
      </w:pPr>
      <w:r>
        <w:rPr>
          <w:rFonts w:ascii="Arial" w:cs="Arial" w:eastAsia="Arial" w:hAnsi="Arial"/>
          <w:b/>
          <w:bCs/>
          <w:color w:val="1B2A4A"/>
          <w:sz w:val="28"/>
          <w:szCs w:val="28"/>
        </w:rPr>
        <w:t xml:space="preserve">Page Inventory</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A7B3A" w:sz="8"/>
              <w:left w:val="single" w:color="1B2A4A" w:sz="20"/>
              <w:bottom w:val="single" w:color="CCCCCC" w:sz="1"/>
              <w:right w:val="single" w:color="CCCCCC" w:sz="1"/>
            </w:tcBorders>
            <w:shd w:fill="EEEDF0" w:val="clear"/>
            <w:tcMar>
              <w:top w:type="dxa" w:w="140"/>
              <w:left w:type="dxa" w:w="200"/>
              <w:bottom w:type="dxa" w:w="140"/>
              <w:right w:type="dxa" w:w="200"/>
            </w:tcMar>
          </w:tcPr>
          <w:p>
            <w:pPr>
              <w:spacing w:after="60" w:before="0"/>
            </w:pPr>
            <w:r>
              <w:rPr>
                <w:rFonts w:ascii="Arial" w:cs="Arial" w:eastAsia="Arial" w:hAnsi="Arial"/>
                <w:b/>
                <w:bCs/>
                <w:color w:val="1B2A4A"/>
                <w:sz w:val="22"/>
                <w:szCs w:val="22"/>
              </w:rPr>
              <w:t xml:space="preserve">Home</w:t>
            </w:r>
          </w:p>
          <w:p>
            <w:pPr>
              <w:spacing w:after="40" w:before="0"/>
            </w:pPr>
            <w:r>
              <w:rPr>
                <w:rFonts w:ascii="Arial" w:cs="Arial" w:eastAsia="Arial" w:hAnsi="Arial"/>
                <w:color w:val="C4A25B"/>
                <w:sz w:val="16"/>
                <w:szCs w:val="16"/>
              </w:rPr>
              <w:t xml:space="preserve">Path: / (root)</w:t>
            </w:r>
          </w:p>
          <w:p>
            <w:pPr>
              <w:spacing w:after="40" w:before="0"/>
            </w:pPr>
            <w:r>
              <w:rPr>
                <w:rFonts w:ascii="Arial" w:cs="Arial" w:eastAsia="Arial" w:hAnsi="Arial"/>
                <w:color w:val="666666"/>
                <w:sz w:val="16"/>
                <w:szCs w:val="16"/>
              </w:rPr>
              <w:t xml:space="preserve">Audience: All three audiences</w:t>
            </w:r>
          </w:p>
          <w:p>
            <w:pPr>
              <w:spacing w:after="100" w:before="0"/>
            </w:pPr>
            <w:r>
              <w:rPr>
                <w:rFonts w:ascii="Arial" w:cs="Arial" w:eastAsia="Arial" w:hAnsi="Arial"/>
                <w:color w:val="666666"/>
                <w:sz w:val="16"/>
                <w:szCs w:val="16"/>
              </w:rPr>
              <w:t xml:space="preserve">Purpose: First impression. Name the problem. Present the firm. Bifurcate to the two primary audience paths.</w:t>
            </w:r>
          </w:p>
          <w:p>
            <w:pPr>
              <w:pStyle w:val="ListParagraph"/>
              <w:numPr>
                <w:ilvl w:val="0"/>
                <w:numId w:val="2"/>
              </w:numPr>
              <w:spacing w:after="50" w:before="30"/>
            </w:pPr>
            <w:r>
              <w:rPr>
                <w:rFonts w:ascii="Arial" w:cs="Arial" w:eastAsia="Arial" w:hAnsi="Arial"/>
                <w:color w:val="2C2C2C"/>
                <w:sz w:val="19"/>
                <w:szCs w:val="19"/>
              </w:rPr>
              <w:t xml:space="preserve">Hero section: problem-first headline, firm positioning statement, two CTAs — For Advisors and For Institutions</w:t>
            </w:r>
          </w:p>
          <w:p>
            <w:pPr>
              <w:pStyle w:val="ListParagraph"/>
              <w:numPr>
                <w:ilvl w:val="0"/>
                <w:numId w:val="2"/>
              </w:numPr>
              <w:spacing w:after="50" w:before="30"/>
            </w:pPr>
            <w:r>
              <w:rPr>
                <w:rFonts w:ascii="Arial" w:cs="Arial" w:eastAsia="Arial" w:hAnsi="Arial"/>
                <w:color w:val="2C2C2C"/>
                <w:sz w:val="19"/>
                <w:szCs w:val="19"/>
              </w:rPr>
              <w:t xml:space="preserve">The Insight section: the style-lock problem in plain language — the story that connects to the Sopro emails</w:t>
            </w:r>
          </w:p>
          <w:p>
            <w:pPr>
              <w:pStyle w:val="ListParagraph"/>
              <w:numPr>
                <w:ilvl w:val="0"/>
                <w:numId w:val="2"/>
              </w:numPr>
              <w:spacing w:after="50" w:before="30"/>
            </w:pPr>
            <w:r>
              <w:rPr>
                <w:rFonts w:ascii="Arial" w:cs="Arial" w:eastAsia="Arial" w:hAnsi="Arial"/>
                <w:color w:val="2C2C2C"/>
                <w:sz w:val="19"/>
                <w:szCs w:val="19"/>
              </w:rPr>
              <w:t xml:space="preserve">The Story: four paragraphs. Continuous prose. No headers. The complete argument for why Paradigm exists.</w:t>
            </w:r>
          </w:p>
          <w:p>
            <w:pPr>
              <w:pStyle w:val="ListParagraph"/>
              <w:numPr>
                <w:ilvl w:val="0"/>
                <w:numId w:val="2"/>
              </w:numPr>
              <w:spacing w:after="50" w:before="30"/>
            </w:pPr>
            <w:r>
              <w:rPr>
                <w:rFonts w:ascii="Arial" w:cs="Arial" w:eastAsia="Arial" w:hAnsi="Arial"/>
                <w:color w:val="2C2C2C"/>
                <w:sz w:val="19"/>
                <w:szCs w:val="19"/>
              </w:rPr>
              <w:t xml:space="preserve">Institutional proof: 35-year track record, named clients. No performance data. No WMBE.</w:t>
            </w:r>
          </w:p>
          <w:p>
            <w:pPr>
              <w:pStyle w:val="ListParagraph"/>
              <w:numPr>
                <w:ilvl w:val="0"/>
                <w:numId w:val="2"/>
              </w:numPr>
              <w:spacing w:after="50" w:before="30"/>
            </w:pPr>
            <w:r>
              <w:rPr>
                <w:rFonts w:ascii="Arial" w:cs="Arial" w:eastAsia="Arial" w:hAnsi="Arial"/>
                <w:color w:val="2C2C2C"/>
                <w:sz w:val="19"/>
                <w:szCs w:val="19"/>
              </w:rPr>
              <w:t xml:space="preserve">The Platform: active management and direct indexing. One platform. Two capabilities. Brief — four sentences.</w:t>
            </w:r>
          </w:p>
          <w:p>
            <w:pPr>
              <w:pStyle w:val="ListParagraph"/>
              <w:numPr>
                <w:ilvl w:val="0"/>
                <w:numId w:val="2"/>
              </w:numPr>
              <w:spacing w:after="50" w:before="30"/>
            </w:pPr>
            <w:r>
              <w:rPr>
                <w:rFonts w:ascii="Arial" w:cs="Arial" w:eastAsia="Arial" w:hAnsi="Arial"/>
                <w:color w:val="2C2C2C"/>
                <w:sz w:val="19"/>
                <w:szCs w:val="19"/>
              </w:rPr>
              <w:t xml:space="preserve">Contact strip: simple contact prompt with two paths — advisor inquiry and institutional inquiry</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A7B3A" w:sz="8"/>
              <w:left w:val="single" w:color="1B2A4A" w:sz="20"/>
              <w:bottom w:val="single" w:color="CCCCCC" w:sz="1"/>
              <w:right w:val="single" w:color="CCCCCC" w:sz="1"/>
            </w:tcBorders>
            <w:shd w:fill="EEEDF0" w:val="clear"/>
            <w:tcMar>
              <w:top w:type="dxa" w:w="140"/>
              <w:left w:type="dxa" w:w="200"/>
              <w:bottom w:type="dxa" w:w="140"/>
              <w:right w:type="dxa" w:w="200"/>
            </w:tcMar>
          </w:tcPr>
          <w:p>
            <w:pPr>
              <w:spacing w:after="60" w:before="0"/>
            </w:pPr>
            <w:r>
              <w:rPr>
                <w:rFonts w:ascii="Arial" w:cs="Arial" w:eastAsia="Arial" w:hAnsi="Arial"/>
                <w:b/>
                <w:bCs/>
                <w:color w:val="1B2A4A"/>
                <w:sz w:val="22"/>
                <w:szCs w:val="22"/>
              </w:rPr>
              <w:t xml:space="preserve">For Advisors</w:t>
            </w:r>
          </w:p>
          <w:p>
            <w:pPr>
              <w:spacing w:after="40" w:before="0"/>
            </w:pPr>
            <w:r>
              <w:rPr>
                <w:rFonts w:ascii="Arial" w:cs="Arial" w:eastAsia="Arial" w:hAnsi="Arial"/>
                <w:color w:val="C4A25B"/>
                <w:sz w:val="16"/>
                <w:szCs w:val="16"/>
              </w:rPr>
              <w:t xml:space="preserve">Path: /advisors</w:t>
            </w:r>
          </w:p>
          <w:p>
            <w:pPr>
              <w:spacing w:after="40" w:before="0"/>
            </w:pPr>
            <w:r>
              <w:rPr>
                <w:rFonts w:ascii="Arial" w:cs="Arial" w:eastAsia="Arial" w:hAnsi="Arial"/>
                <w:color w:val="666666"/>
                <w:sz w:val="16"/>
                <w:szCs w:val="16"/>
              </w:rPr>
              <w:t xml:space="preserve">Audience: Wealth advisors and MFOs arriving from Sopro or referral</w:t>
            </w:r>
          </w:p>
          <w:p>
            <w:pPr>
              <w:spacing w:after="100" w:before="0"/>
            </w:pPr>
            <w:r>
              <w:rPr>
                <w:rFonts w:ascii="Arial" w:cs="Arial" w:eastAsia="Arial" w:hAnsi="Arial"/>
                <w:color w:val="666666"/>
                <w:sz w:val="16"/>
                <w:szCs w:val="16"/>
              </w:rPr>
              <w:t xml:space="preserve">Purpose: Convert curiosity into a 20-minute call. Everything on this page should make the advisor feel Paradigm understands their specific problem.</w:t>
            </w:r>
          </w:p>
          <w:p>
            <w:pPr>
              <w:pStyle w:val="ListParagraph"/>
              <w:numPr>
                <w:ilvl w:val="0"/>
                <w:numId w:val="2"/>
              </w:numPr>
              <w:spacing w:after="50" w:before="30"/>
            </w:pPr>
            <w:r>
              <w:rPr>
                <w:rFonts w:ascii="Arial" w:cs="Arial" w:eastAsia="Arial" w:hAnsi="Arial"/>
                <w:color w:val="2C2C2C"/>
                <w:sz w:val="19"/>
                <w:szCs w:val="19"/>
              </w:rPr>
              <w:t xml:space="preserve">Hero: the style-lock trap stated precisely — the same problem named in the Sopro emails</w:t>
            </w:r>
          </w:p>
          <w:p>
            <w:pPr>
              <w:pStyle w:val="ListParagraph"/>
              <w:numPr>
                <w:ilvl w:val="0"/>
                <w:numId w:val="2"/>
              </w:numPr>
              <w:spacing w:after="50" w:before="30"/>
            </w:pPr>
            <w:r>
              <w:rPr>
                <w:rFonts w:ascii="Arial" w:cs="Arial" w:eastAsia="Arial" w:hAnsi="Arial"/>
                <w:color w:val="2C2C2C"/>
                <w:sz w:val="19"/>
                <w:szCs w:val="19"/>
              </w:rPr>
              <w:t xml:space="preserve">The Two Problems: style-lock trap and commodification trap — two short sections with plain language</w:t>
            </w:r>
          </w:p>
          <w:p>
            <w:pPr>
              <w:pStyle w:val="ListParagraph"/>
              <w:numPr>
                <w:ilvl w:val="0"/>
                <w:numId w:val="2"/>
              </w:numPr>
              <w:spacing w:after="50" w:before="30"/>
            </w:pPr>
            <w:r>
              <w:rPr>
                <w:rFonts w:ascii="Arial" w:cs="Arial" w:eastAsia="Arial" w:hAnsi="Arial"/>
                <w:color w:val="2C2C2C"/>
                <w:sz w:val="19"/>
                <w:szCs w:val="19"/>
              </w:rPr>
              <w:t xml:space="preserve">The Core Story: same four paragraphs as home page. Self-contained for visitors arriving cold.</w:t>
            </w:r>
          </w:p>
          <w:p>
            <w:pPr>
              <w:pStyle w:val="ListParagraph"/>
              <w:numPr>
                <w:ilvl w:val="0"/>
                <w:numId w:val="2"/>
              </w:numPr>
              <w:spacing w:after="50" w:before="30"/>
            </w:pPr>
            <w:r>
              <w:rPr>
                <w:rFonts w:ascii="Arial" w:cs="Arial" w:eastAsia="Arial" w:hAnsi="Arial"/>
                <w:color w:val="2C2C2C"/>
                <w:sz w:val="19"/>
                <w:szCs w:val="19"/>
              </w:rPr>
              <w:t xml:space="preserve">What Advisors Can Now Offer: the three consequences — migrating portfolio, cost arbitrage, tax-loss harvesting on active strategies. Advisor-as-subject throughout.</w:t>
            </w:r>
          </w:p>
          <w:p>
            <w:pPr>
              <w:pStyle w:val="ListParagraph"/>
              <w:numPr>
                <w:ilvl w:val="0"/>
                <w:numId w:val="2"/>
              </w:numPr>
              <w:spacing w:after="50" w:before="30"/>
            </w:pPr>
            <w:r>
              <w:rPr>
                <w:rFonts w:ascii="Arial" w:cs="Arial" w:eastAsia="Arial" w:hAnsi="Arial"/>
                <w:color w:val="2C2C2C"/>
                <w:sz w:val="19"/>
                <w:szCs w:val="19"/>
              </w:rPr>
              <w:t xml:space="preserve">The Two Delivery Models: self-serve platform and white glove — explained plainly, advisor operates both</w:t>
            </w:r>
          </w:p>
          <w:p>
            <w:pPr>
              <w:pStyle w:val="ListParagraph"/>
              <w:numPr>
                <w:ilvl w:val="0"/>
                <w:numId w:val="2"/>
              </w:numPr>
              <w:spacing w:after="50" w:before="30"/>
            </w:pPr>
            <w:r>
              <w:rPr>
                <w:rFonts w:ascii="Arial" w:cs="Arial" w:eastAsia="Arial" w:hAnsi="Arial"/>
                <w:color w:val="2C2C2C"/>
                <w:sz w:val="19"/>
                <w:szCs w:val="19"/>
              </w:rPr>
              <w:t xml:space="preserve">The Platform Capability: active + direct indexing. Two delivery models.</w:t>
            </w:r>
          </w:p>
          <w:p>
            <w:pPr>
              <w:pStyle w:val="ListParagraph"/>
              <w:numPr>
                <w:ilvl w:val="0"/>
                <w:numId w:val="2"/>
              </w:numPr>
              <w:spacing w:after="50" w:before="30"/>
            </w:pPr>
            <w:r>
              <w:rPr>
                <w:rFonts w:ascii="Arial" w:cs="Arial" w:eastAsia="Arial" w:hAnsi="Arial"/>
                <w:color w:val="2C2C2C"/>
                <w:sz w:val="19"/>
                <w:szCs w:val="19"/>
              </w:rPr>
              <w:t xml:space="preserve">Proof point: 35 years, named institutional clients, now available to advisors</w:t>
            </w:r>
          </w:p>
          <w:p>
            <w:pPr>
              <w:pStyle w:val="ListParagraph"/>
              <w:numPr>
                <w:ilvl w:val="0"/>
                <w:numId w:val="2"/>
              </w:numPr>
              <w:spacing w:after="50" w:before="30"/>
            </w:pPr>
            <w:r>
              <w:rPr>
                <w:rFonts w:ascii="Arial" w:cs="Arial" w:eastAsia="Arial" w:hAnsi="Arial"/>
                <w:color w:val="2C2C2C"/>
                <w:sz w:val="19"/>
                <w:szCs w:val="19"/>
              </w:rPr>
              <w:t xml:space="preserve">CTA: prominent 20-minute call booking — not a generic contact form</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A7B3A" w:sz="8"/>
              <w:left w:val="single" w:color="1B2A4A" w:sz="20"/>
              <w:bottom w:val="single" w:color="CCCCCC" w:sz="1"/>
              <w:right w:val="single" w:color="CCCCCC" w:sz="1"/>
            </w:tcBorders>
            <w:shd w:fill="EEEDF0" w:val="clear"/>
            <w:tcMar>
              <w:top w:type="dxa" w:w="140"/>
              <w:left w:type="dxa" w:w="200"/>
              <w:bottom w:type="dxa" w:w="140"/>
              <w:right w:type="dxa" w:w="200"/>
            </w:tcMar>
          </w:tcPr>
          <w:p>
            <w:pPr>
              <w:spacing w:after="60" w:before="0"/>
            </w:pPr>
            <w:r>
              <w:rPr>
                <w:rFonts w:ascii="Arial" w:cs="Arial" w:eastAsia="Arial" w:hAnsi="Arial"/>
                <w:b/>
                <w:bCs/>
                <w:color w:val="1B2A4A"/>
                <w:sz w:val="22"/>
                <w:szCs w:val="22"/>
              </w:rPr>
              <w:t xml:space="preserve">For Family Offices</w:t>
            </w:r>
          </w:p>
          <w:p>
            <w:pPr>
              <w:spacing w:after="40" w:before="0"/>
            </w:pPr>
            <w:r>
              <w:rPr>
                <w:rFonts w:ascii="Arial" w:cs="Arial" w:eastAsia="Arial" w:hAnsi="Arial"/>
                <w:color w:val="C4A25B"/>
                <w:sz w:val="16"/>
                <w:szCs w:val="16"/>
              </w:rPr>
              <w:t xml:space="preserve">Path: /familyoffice</w:t>
            </w:r>
          </w:p>
          <w:p>
            <w:pPr>
              <w:spacing w:after="40" w:before="0"/>
            </w:pPr>
            <w:r>
              <w:rPr>
                <w:rFonts w:ascii="Arial" w:cs="Arial" w:eastAsia="Arial" w:hAnsi="Arial"/>
                <w:color w:val="666666"/>
                <w:sz w:val="16"/>
                <w:szCs w:val="16"/>
              </w:rPr>
              <w:t xml:space="preserve">Audience: Multi-family offices, OCIOs, family office aggregators</w:t>
            </w:r>
          </w:p>
          <w:p>
            <w:pPr>
              <w:spacing w:after="100" w:before="0"/>
            </w:pPr>
            <w:r>
              <w:rPr>
                <w:rFonts w:ascii="Arial" w:cs="Arial" w:eastAsia="Arial" w:hAnsi="Arial"/>
                <w:color w:val="666666"/>
                <w:sz w:val="16"/>
                <w:szCs w:val="16"/>
              </w:rPr>
              <w:t xml:space="preserve">Purpose: Self-contained. Portfolio manufacturing capability leads. MFO language throughout.</w:t>
            </w:r>
          </w:p>
          <w:p>
            <w:pPr>
              <w:pStyle w:val="ListParagraph"/>
              <w:numPr>
                <w:ilvl w:val="0"/>
                <w:numId w:val="2"/>
              </w:numPr>
              <w:spacing w:after="50" w:before="30"/>
            </w:pPr>
            <w:r>
              <w:rPr>
                <w:rFonts w:ascii="Arial" w:cs="Arial" w:eastAsia="Arial" w:hAnsi="Arial"/>
                <w:color w:val="2C2C2C"/>
                <w:sz w:val="19"/>
                <w:szCs w:val="19"/>
              </w:rPr>
              <w:t xml:space="preserve">Hero: the expectation gap — clients expect portfolios built for them specifically, most platforms offer portfolios built for everyone</w:t>
            </w:r>
          </w:p>
          <w:p>
            <w:pPr>
              <w:pStyle w:val="ListParagraph"/>
              <w:numPr>
                <w:ilvl w:val="0"/>
                <w:numId w:val="2"/>
              </w:numPr>
              <w:spacing w:after="50" w:before="30"/>
            </w:pPr>
            <w:r>
              <w:rPr>
                <w:rFonts w:ascii="Arial" w:cs="Arial" w:eastAsia="Arial" w:hAnsi="Arial"/>
                <w:color w:val="2C2C2C"/>
                <w:sz w:val="19"/>
                <w:szCs w:val="19"/>
              </w:rPr>
              <w:t xml:space="preserve">Core story: four paragraphs in MFO register. Paragraph 2 addresses the diversify-across-managers approach and its operational cost.</w:t>
            </w:r>
          </w:p>
          <w:p>
            <w:pPr>
              <w:pStyle w:val="ListParagraph"/>
              <w:numPr>
                <w:ilvl w:val="0"/>
                <w:numId w:val="2"/>
              </w:numPr>
              <w:spacing w:after="50" w:before="30"/>
            </w:pPr>
            <w:r>
              <w:rPr>
                <w:rFonts w:ascii="Arial" w:cs="Arial" w:eastAsia="Arial" w:hAnsi="Arial"/>
                <w:color w:val="2C2C2C"/>
                <w:sz w:val="19"/>
                <w:szCs w:val="19"/>
              </w:rPr>
              <w:t xml:space="preserve">Three-column section: custom mandates, platform operations, white glove build</w:t>
            </w:r>
          </w:p>
          <w:p>
            <w:pPr>
              <w:pStyle w:val="ListParagraph"/>
              <w:numPr>
                <w:ilvl w:val="0"/>
                <w:numId w:val="2"/>
              </w:numPr>
              <w:spacing w:after="50" w:before="30"/>
            </w:pPr>
            <w:r>
              <w:rPr>
                <w:rFonts w:ascii="Arial" w:cs="Arial" w:eastAsia="Arial" w:hAnsi="Arial"/>
                <w:color w:val="2C2C2C"/>
                <w:sz w:val="19"/>
                <w:szCs w:val="19"/>
              </w:rPr>
              <w:t xml:space="preserve">Operational consequence: one process, one narrative across every client and committee</w:t>
            </w:r>
          </w:p>
          <w:p>
            <w:pPr>
              <w:pStyle w:val="ListParagraph"/>
              <w:numPr>
                <w:ilvl w:val="0"/>
                <w:numId w:val="2"/>
              </w:numPr>
              <w:spacing w:after="50" w:before="30"/>
            </w:pPr>
            <w:r>
              <w:rPr>
                <w:rFonts w:ascii="Arial" w:cs="Arial" w:eastAsia="Arial" w:hAnsi="Arial"/>
                <w:color w:val="2C2C2C"/>
                <w:sz w:val="19"/>
                <w:szCs w:val="19"/>
              </w:rPr>
              <w:t xml:space="preserve">Proof block: exact language, MFO-specific bridge sentence</w:t>
            </w:r>
          </w:p>
          <w:p>
            <w:pPr>
              <w:pStyle w:val="ListParagraph"/>
              <w:numPr>
                <w:ilvl w:val="0"/>
                <w:numId w:val="2"/>
              </w:numPr>
              <w:spacing w:after="50" w:before="30"/>
            </w:pPr>
            <w:r>
              <w:rPr>
                <w:rFonts w:ascii="Arial" w:cs="Arial" w:eastAsia="Arial" w:hAnsi="Arial"/>
                <w:color w:val="2C2C2C"/>
                <w:sz w:val="19"/>
                <w:szCs w:val="19"/>
              </w:rPr>
              <w:t xml:space="preserve">CTA: Start a Conversation</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A7B3A" w:sz="8"/>
              <w:left w:val="single" w:color="1B2A4A" w:sz="20"/>
              <w:bottom w:val="single" w:color="CCCCCC" w:sz="1"/>
              <w:right w:val="single" w:color="CCCCCC" w:sz="1"/>
            </w:tcBorders>
            <w:shd w:fill="EEEDF0" w:val="clear"/>
            <w:tcMar>
              <w:top w:type="dxa" w:w="140"/>
              <w:left w:type="dxa" w:w="200"/>
              <w:bottom w:type="dxa" w:w="140"/>
              <w:right w:type="dxa" w:w="200"/>
            </w:tcMar>
          </w:tcPr>
          <w:p>
            <w:pPr>
              <w:spacing w:after="60" w:before="0"/>
            </w:pPr>
            <w:r>
              <w:rPr>
                <w:rFonts w:ascii="Arial" w:cs="Arial" w:eastAsia="Arial" w:hAnsi="Arial"/>
                <w:b/>
                <w:bCs/>
                <w:color w:val="1B2A4A"/>
                <w:sz w:val="22"/>
                <w:szCs w:val="22"/>
              </w:rPr>
              <w:t xml:space="preserve">For Institutions</w:t>
            </w:r>
          </w:p>
          <w:p>
            <w:pPr>
              <w:spacing w:after="40" w:before="0"/>
            </w:pPr>
            <w:r>
              <w:rPr>
                <w:rFonts w:ascii="Arial" w:cs="Arial" w:eastAsia="Arial" w:hAnsi="Arial"/>
                <w:color w:val="C4A25B"/>
                <w:sz w:val="16"/>
                <w:szCs w:val="16"/>
              </w:rPr>
              <w:t xml:space="preserve">Path: /institutions</w:t>
            </w:r>
          </w:p>
          <w:p>
            <w:pPr>
              <w:spacing w:after="40" w:before="0"/>
            </w:pPr>
            <w:r>
              <w:rPr>
                <w:rFonts w:ascii="Arial" w:cs="Arial" w:eastAsia="Arial" w:hAnsi="Arial"/>
                <w:color w:val="666666"/>
                <w:sz w:val="16"/>
                <w:szCs w:val="16"/>
              </w:rPr>
              <w:t xml:space="preserve">Audience: Institutional allocators, MFOs, OCIOs, strategic partners, potential acquirers</w:t>
            </w:r>
          </w:p>
          <w:p>
            <w:pPr>
              <w:spacing w:after="100" w:before="0"/>
            </w:pPr>
            <w:r>
              <w:rPr>
                <w:rFonts w:ascii="Arial" w:cs="Arial" w:eastAsia="Arial" w:hAnsi="Arial"/>
                <w:color w:val="666666"/>
                <w:sz w:val="16"/>
                <w:szCs w:val="16"/>
              </w:rPr>
              <w:t xml:space="preserve">Purpose: Establish the full picture of Paradigm as an institutional firm at an inflection point.</w:t>
            </w:r>
          </w:p>
          <w:p>
            <w:pPr>
              <w:pStyle w:val="ListParagraph"/>
              <w:numPr>
                <w:ilvl w:val="0"/>
                <w:numId w:val="2"/>
              </w:numPr>
              <w:spacing w:after="50" w:before="30"/>
            </w:pPr>
            <w:r>
              <w:rPr>
                <w:rFonts w:ascii="Arial" w:cs="Arial" w:eastAsia="Arial" w:hAnsi="Arial"/>
                <w:color w:val="2C2C2C"/>
                <w:sz w:val="19"/>
                <w:szCs w:val="19"/>
              </w:rPr>
              <w:t xml:space="preserve">Hero: the firm's 35-year institutional identity stated with confidence</w:t>
            </w:r>
          </w:p>
          <w:p>
            <w:pPr>
              <w:pStyle w:val="ListParagraph"/>
              <w:numPr>
                <w:ilvl w:val="0"/>
                <w:numId w:val="2"/>
              </w:numPr>
              <w:spacing w:after="50" w:before="30"/>
            </w:pPr>
            <w:r>
              <w:rPr>
                <w:rFonts w:ascii="Arial" w:cs="Arial" w:eastAsia="Arial" w:hAnsi="Arial"/>
                <w:color w:val="2C2C2C"/>
                <w:sz w:val="19"/>
                <w:szCs w:val="19"/>
              </w:rPr>
              <w:t xml:space="preserve">The Process: DMinorX and collective intelligence described at the appropriate sophistication level for this audience</w:t>
            </w:r>
          </w:p>
          <w:p>
            <w:pPr>
              <w:pStyle w:val="ListParagraph"/>
              <w:numPr>
                <w:ilvl w:val="0"/>
                <w:numId w:val="2"/>
              </w:numPr>
              <w:spacing w:after="50" w:before="30"/>
            </w:pPr>
            <w:r>
              <w:rPr>
                <w:rFonts w:ascii="Arial" w:cs="Arial" w:eastAsia="Arial" w:hAnsi="Arial"/>
                <w:color w:val="2C2C2C"/>
                <w:sz w:val="19"/>
                <w:szCs w:val="19"/>
              </w:rPr>
              <w:t xml:space="preserve">Sub-style migration and regime intelligence: stated in precise investment language, not simplified</w:t>
            </w:r>
          </w:p>
          <w:p>
            <w:pPr>
              <w:pStyle w:val="ListParagraph"/>
              <w:numPr>
                <w:ilvl w:val="0"/>
                <w:numId w:val="2"/>
              </w:numPr>
              <w:spacing w:after="50" w:before="30"/>
            </w:pPr>
            <w:r>
              <w:rPr>
                <w:rFonts w:ascii="Arial" w:cs="Arial" w:eastAsia="Arial" w:hAnsi="Arial"/>
                <w:color w:val="2C2C2C"/>
                <w:sz w:val="19"/>
                <w:szCs w:val="19"/>
              </w:rPr>
              <w:t xml:space="preserve">Strategies: Large Value, Domestic All-Cap All-Style, International Developed, World Value, Small Cap (coming), custom mandates</w:t>
            </w:r>
          </w:p>
          <w:p>
            <w:pPr>
              <w:pStyle w:val="ListParagraph"/>
              <w:numPr>
                <w:ilvl w:val="0"/>
                <w:numId w:val="2"/>
              </w:numPr>
              <w:spacing w:after="50" w:before="30"/>
            </w:pPr>
            <w:r>
              <w:rPr>
                <w:rFonts w:ascii="Arial" w:cs="Arial" w:eastAsia="Arial" w:hAnsi="Arial"/>
                <w:color w:val="2C2C2C"/>
                <w:sz w:val="19"/>
                <w:szCs w:val="19"/>
              </w:rPr>
              <w:t xml:space="preserve">Institutional track record: named clients, 35-year operating history. No WMBE.</w:t>
            </w:r>
          </w:p>
          <w:p>
            <w:pPr>
              <w:pStyle w:val="ListParagraph"/>
              <w:numPr>
                <w:ilvl w:val="0"/>
                <w:numId w:val="2"/>
              </w:numPr>
              <w:spacing w:after="50" w:before="30"/>
            </w:pPr>
            <w:r>
              <w:rPr>
                <w:rFonts w:ascii="Arial" w:cs="Arial" w:eastAsia="Arial" w:hAnsi="Arial"/>
                <w:color w:val="2C2C2C"/>
                <w:sz w:val="19"/>
                <w:szCs w:val="19"/>
              </w:rPr>
              <w:t xml:space="preserve">The commercial vision: Portfolio as a Service, product manufacturing capability, the platform story</w:t>
            </w:r>
          </w:p>
          <w:p>
            <w:pPr>
              <w:pStyle w:val="ListParagraph"/>
              <w:numPr>
                <w:ilvl w:val="0"/>
                <w:numId w:val="2"/>
              </w:numPr>
              <w:spacing w:after="50" w:before="30"/>
            </w:pPr>
            <w:r>
              <w:rPr>
                <w:rFonts w:ascii="Arial" w:cs="Arial" w:eastAsia="Arial" w:hAnsi="Arial"/>
                <w:color w:val="2C2C2C"/>
                <w:sz w:val="19"/>
                <w:szCs w:val="19"/>
              </w:rPr>
              <w:t xml:space="preserve">Strategic relationships: open-ended language inviting aggregator, partnership, and acquisition conversations</w:t>
            </w:r>
          </w:p>
          <w:p>
            <w:pPr>
              <w:pStyle w:val="ListParagraph"/>
              <w:numPr>
                <w:ilvl w:val="0"/>
                <w:numId w:val="2"/>
              </w:numPr>
              <w:spacing w:after="50" w:before="30"/>
            </w:pPr>
            <w:r>
              <w:rPr>
                <w:rFonts w:ascii="Arial" w:cs="Arial" w:eastAsia="Arial" w:hAnsi="Arial"/>
                <w:color w:val="2C2C2C"/>
                <w:sz w:val="19"/>
                <w:szCs w:val="19"/>
              </w:rPr>
              <w:t xml:space="preserve">CTA: institutional inquiry form — different language from the advisor CTA</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A7B3A" w:sz="8"/>
              <w:left w:val="single" w:color="1B2A4A" w:sz="20"/>
              <w:bottom w:val="single" w:color="CCCCCC" w:sz="1"/>
              <w:right w:val="single" w:color="CCCCCC" w:sz="1"/>
            </w:tcBorders>
            <w:shd w:fill="EEEDF0" w:val="clear"/>
            <w:tcMar>
              <w:top w:type="dxa" w:w="140"/>
              <w:left w:type="dxa" w:w="200"/>
              <w:bottom w:type="dxa" w:w="140"/>
              <w:right w:type="dxa" w:w="200"/>
            </w:tcMar>
          </w:tcPr>
          <w:p>
            <w:pPr>
              <w:spacing w:after="60" w:before="0"/>
            </w:pPr>
            <w:r>
              <w:rPr>
                <w:rFonts w:ascii="Arial" w:cs="Arial" w:eastAsia="Arial" w:hAnsi="Arial"/>
                <w:b/>
                <w:bCs/>
                <w:color w:val="1B2A4A"/>
                <w:sz w:val="22"/>
                <w:szCs w:val="22"/>
              </w:rPr>
              <w:t xml:space="preserve">Our Process</w:t>
            </w:r>
          </w:p>
          <w:p>
            <w:pPr>
              <w:spacing w:after="40" w:before="0"/>
            </w:pPr>
            <w:r>
              <w:rPr>
                <w:rFonts w:ascii="Arial" w:cs="Arial" w:eastAsia="Arial" w:hAnsi="Arial"/>
                <w:color w:val="C4A25B"/>
                <w:sz w:val="16"/>
                <w:szCs w:val="16"/>
              </w:rPr>
              <w:t xml:space="preserve">Path: /process</w:t>
            </w:r>
          </w:p>
          <w:p>
            <w:pPr>
              <w:spacing w:after="40" w:before="0"/>
            </w:pPr>
            <w:r>
              <w:rPr>
                <w:rFonts w:ascii="Arial" w:cs="Arial" w:eastAsia="Arial" w:hAnsi="Arial"/>
                <w:color w:val="666666"/>
                <w:sz w:val="16"/>
                <w:szCs w:val="16"/>
              </w:rPr>
              <w:t xml:space="preserve">Audience: All audiences — deepens understanding for those who want to know more</w:t>
            </w:r>
          </w:p>
          <w:p>
            <w:pPr>
              <w:spacing w:after="100" w:before="0"/>
            </w:pPr>
            <w:r>
              <w:rPr>
                <w:rFonts w:ascii="Arial" w:cs="Arial" w:eastAsia="Arial" w:hAnsi="Arial"/>
                <w:color w:val="666666"/>
                <w:sz w:val="16"/>
                <w:szCs w:val="16"/>
              </w:rPr>
              <w:t xml:space="preserve">Purpose: Make the investment process credible and comprehensible without requiring technical expertise.</w:t>
            </w:r>
          </w:p>
          <w:p>
            <w:pPr>
              <w:pStyle w:val="ListParagraph"/>
              <w:numPr>
                <w:ilvl w:val="0"/>
                <w:numId w:val="2"/>
              </w:numPr>
              <w:spacing w:after="50" w:before="30"/>
            </w:pPr>
            <w:r>
              <w:rPr>
                <w:rFonts w:ascii="Arial" w:cs="Arial" w:eastAsia="Arial" w:hAnsi="Arial"/>
                <w:color w:val="2C2C2C"/>
                <w:sz w:val="19"/>
                <w:szCs w:val="19"/>
              </w:rPr>
              <w:t xml:space="preserve">The problem: why individual active managers are sub-style constrained by both mandate and expertise</w:t>
            </w:r>
          </w:p>
          <w:p>
            <w:pPr>
              <w:pStyle w:val="ListParagraph"/>
              <w:numPr>
                <w:ilvl w:val="0"/>
                <w:numId w:val="2"/>
              </w:numPr>
              <w:spacing w:after="50" w:before="30"/>
            </w:pPr>
            <w:r>
              <w:rPr>
                <w:rFonts w:ascii="Arial" w:cs="Arial" w:eastAsia="Arial" w:hAnsi="Arial"/>
                <w:color w:val="2C2C2C"/>
                <w:sz w:val="19"/>
                <w:szCs w:val="19"/>
              </w:rPr>
              <w:t xml:space="preserve">The collective intelligence approach: what it means to read across specialists without allocating to them</w:t>
            </w:r>
          </w:p>
          <w:p>
            <w:pPr>
              <w:pStyle w:val="ListParagraph"/>
              <w:numPr>
                <w:ilvl w:val="0"/>
                <w:numId w:val="2"/>
              </w:numPr>
              <w:spacing w:after="50" w:before="30"/>
            </w:pPr>
            <w:r>
              <w:rPr>
                <w:rFonts w:ascii="Arial" w:cs="Arial" w:eastAsia="Arial" w:hAnsi="Arial"/>
                <w:color w:val="2C2C2C"/>
                <w:sz w:val="19"/>
                <w:szCs w:val="19"/>
              </w:rPr>
              <w:t xml:space="preserve">Within-mandate migration: the Large Value example, the sub-style spectrum, how the portfolio moves</w:t>
            </w:r>
          </w:p>
          <w:p>
            <w:pPr>
              <w:pStyle w:val="ListParagraph"/>
              <w:numPr>
                <w:ilvl w:val="0"/>
                <w:numId w:val="2"/>
              </w:numPr>
              <w:spacing w:after="50" w:before="30"/>
            </w:pPr>
            <w:r>
              <w:rPr>
                <w:rFonts w:ascii="Arial" w:cs="Arial" w:eastAsia="Arial" w:hAnsi="Arial"/>
                <w:color w:val="2C2C2C"/>
                <w:sz w:val="19"/>
                <w:szCs w:val="19"/>
              </w:rPr>
              <w:t xml:space="preserve">The rebalance trigger: monthly evaluation, signal-driven, patient confirmation before acting</w:t>
            </w:r>
          </w:p>
          <w:p>
            <w:pPr>
              <w:pStyle w:val="ListParagraph"/>
              <w:numPr>
                <w:ilvl w:val="0"/>
                <w:numId w:val="2"/>
              </w:numPr>
              <w:spacing w:after="50" w:before="30"/>
            </w:pPr>
            <w:r>
              <w:rPr>
                <w:rFonts w:ascii="Arial" w:cs="Arial" w:eastAsia="Arial" w:hAnsi="Arial"/>
                <w:color w:val="2C2C2C"/>
                <w:sz w:val="19"/>
                <w:szCs w:val="19"/>
              </w:rPr>
              <w:t xml:space="preserve">The manager selection risk: backward-looking searches, yesterday's winners, how Paradigm reads current leadership</w:t>
            </w:r>
          </w:p>
          <w:p>
            <w:pPr>
              <w:pStyle w:val="ListParagraph"/>
              <w:numPr>
                <w:ilvl w:val="0"/>
                <w:numId w:val="2"/>
              </w:numPr>
              <w:spacing w:after="50" w:before="30"/>
            </w:pPr>
            <w:r>
              <w:rPr>
                <w:rFonts w:ascii="Arial" w:cs="Arial" w:eastAsia="Arial" w:hAnsi="Arial"/>
                <w:color w:val="2C2C2C"/>
                <w:sz w:val="19"/>
                <w:szCs w:val="19"/>
              </w:rPr>
              <w:t xml:space="preserve">Tax-loss harvesting on active strategies: the direct indexing parallel, the advisor operates it</w:t>
            </w:r>
          </w:p>
          <w:p>
            <w:pPr>
              <w:pStyle w:val="ListParagraph"/>
              <w:numPr>
                <w:ilvl w:val="0"/>
                <w:numId w:val="2"/>
              </w:numPr>
              <w:spacing w:after="50" w:before="30"/>
            </w:pPr>
            <w:r>
              <w:rPr>
                <w:rFonts w:ascii="Arial" w:cs="Arial" w:eastAsia="Arial" w:hAnsi="Arial"/>
                <w:color w:val="2C2C2C"/>
                <w:sz w:val="19"/>
                <w:szCs w:val="19"/>
              </w:rPr>
              <w:t xml:space="preserve">No performance data. No GIPS tables. Process story only.</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A7B3A" w:sz="8"/>
              <w:left w:val="single" w:color="1B2A4A" w:sz="20"/>
              <w:bottom w:val="single" w:color="CCCCCC" w:sz="1"/>
              <w:right w:val="single" w:color="CCCCCC" w:sz="1"/>
            </w:tcBorders>
            <w:shd w:fill="EEEDF0" w:val="clear"/>
            <w:tcMar>
              <w:top w:type="dxa" w:w="140"/>
              <w:left w:type="dxa" w:w="200"/>
              <w:bottom w:type="dxa" w:w="140"/>
              <w:right w:type="dxa" w:w="200"/>
            </w:tcMar>
          </w:tcPr>
          <w:p>
            <w:pPr>
              <w:spacing w:after="60" w:before="0"/>
            </w:pPr>
            <w:r>
              <w:rPr>
                <w:rFonts w:ascii="Arial" w:cs="Arial" w:eastAsia="Arial" w:hAnsi="Arial"/>
                <w:b/>
                <w:bCs/>
                <w:color w:val="1B2A4A"/>
                <w:sz w:val="22"/>
                <w:szCs w:val="22"/>
              </w:rPr>
              <w:t xml:space="preserve">About</w:t>
            </w:r>
          </w:p>
          <w:p>
            <w:pPr>
              <w:spacing w:after="40" w:before="0"/>
            </w:pPr>
            <w:r>
              <w:rPr>
                <w:rFonts w:ascii="Arial" w:cs="Arial" w:eastAsia="Arial" w:hAnsi="Arial"/>
                <w:color w:val="C4A25B"/>
                <w:sz w:val="16"/>
                <w:szCs w:val="16"/>
              </w:rPr>
              <w:t xml:space="preserve">Path: /about</w:t>
            </w:r>
          </w:p>
          <w:p>
            <w:pPr>
              <w:spacing w:after="40" w:before="0"/>
            </w:pPr>
            <w:r>
              <w:rPr>
                <w:rFonts w:ascii="Arial" w:cs="Arial" w:eastAsia="Arial" w:hAnsi="Arial"/>
                <w:color w:val="666666"/>
                <w:sz w:val="16"/>
                <w:szCs w:val="16"/>
              </w:rPr>
              <w:t xml:space="preserve">Audience: All audiences — builds trust and human connection</w:t>
            </w:r>
          </w:p>
          <w:p>
            <w:pPr>
              <w:spacing w:after="100" w:before="0"/>
            </w:pPr>
            <w:r>
              <w:rPr>
                <w:rFonts w:ascii="Arial" w:cs="Arial" w:eastAsia="Arial" w:hAnsi="Arial"/>
                <w:color w:val="666666"/>
                <w:sz w:val="16"/>
                <w:szCs w:val="16"/>
              </w:rPr>
              <w:t xml:space="preserve">Purpose: Present Paradigm as a firm with a genuine point of view and a 35-year institutional foundation.</w:t>
            </w:r>
          </w:p>
          <w:p>
            <w:pPr>
              <w:pStyle w:val="ListParagraph"/>
              <w:numPr>
                <w:ilvl w:val="0"/>
                <w:numId w:val="2"/>
              </w:numPr>
              <w:spacing w:after="50" w:before="30"/>
            </w:pPr>
            <w:r>
              <w:rPr>
                <w:rFonts w:ascii="Arial" w:cs="Arial" w:eastAsia="Arial" w:hAnsi="Arial"/>
                <w:color w:val="2C2C2C"/>
                <w:sz w:val="19"/>
                <w:szCs w:val="19"/>
              </w:rPr>
              <w:t xml:space="preserve">Firm history: founded 1990, 35 years, institutional-only until now, at an inflection point</w:t>
            </w:r>
          </w:p>
          <w:p>
            <w:pPr>
              <w:pStyle w:val="ListParagraph"/>
              <w:numPr>
                <w:ilvl w:val="0"/>
                <w:numId w:val="2"/>
              </w:numPr>
              <w:spacing w:after="50" w:before="30"/>
            </w:pPr>
            <w:r>
              <w:rPr>
                <w:rFonts w:ascii="Arial" w:cs="Arial" w:eastAsia="Arial" w:hAnsi="Arial"/>
                <w:color w:val="2C2C2C"/>
                <w:sz w:val="19"/>
                <w:szCs w:val="19"/>
              </w:rPr>
              <w:t xml:space="preserve">From Extraction to Ownership: the philosophical foundation — stated plainly, not as a marketing tagline</w:t>
            </w:r>
          </w:p>
          <w:p>
            <w:pPr>
              <w:pStyle w:val="ListParagraph"/>
              <w:numPr>
                <w:ilvl w:val="0"/>
                <w:numId w:val="2"/>
              </w:numPr>
              <w:spacing w:after="50" w:before="30"/>
            </w:pPr>
            <w:r>
              <w:rPr>
                <w:rFonts w:ascii="Arial" w:cs="Arial" w:eastAsia="Arial" w:hAnsi="Arial"/>
                <w:color w:val="2C2C2C"/>
                <w:sz w:val="19"/>
                <w:szCs w:val="19"/>
              </w:rPr>
              <w:t xml:space="preserve">Advisory board: Robert Capaldi (former Senior Strategist to BlackRock CEO), Natalie Turnow (former CIO Calvert Funds).</w:t>
            </w:r>
          </w:p>
          <w:p>
            <w:pPr>
              <w:pStyle w:val="ListParagraph"/>
              <w:numPr>
                <w:ilvl w:val="0"/>
                <w:numId w:val="2"/>
              </w:numPr>
              <w:spacing w:after="50" w:before="30"/>
            </w:pPr>
            <w:r>
              <w:rPr>
                <w:rFonts w:ascii="Arial" w:cs="Arial" w:eastAsia="Arial" w:hAnsi="Arial"/>
                <w:color w:val="2C2C2C"/>
                <w:sz w:val="19"/>
                <w:szCs w:val="19"/>
              </w:rPr>
              <w:t xml:space="preserve">Team section: James Francis (Founder and CEO), Gregory Pai, Odalisse Sosa, Jeffrey Marcus, Chaoxie Liu, Jarius DeWalt — existing information as placeholder, updated with fresh copy and photos when ready</w:t>
            </w:r>
          </w:p>
          <w:p>
            <w:pPr>
              <w:pStyle w:val="ListParagraph"/>
              <w:numPr>
                <w:ilvl w:val="0"/>
                <w:numId w:val="2"/>
              </w:numPr>
              <w:spacing w:after="50" w:before="30"/>
            </w:pPr>
            <w:r>
              <w:rPr>
                <w:rFonts w:ascii="Arial" w:cs="Arial" w:eastAsia="Arial" w:hAnsi="Arial"/>
                <w:color w:val="2C2C2C"/>
                <w:sz w:val="19"/>
                <w:szCs w:val="19"/>
              </w:rPr>
              <w:t xml:space="preserve">James Francis bio: 35 years, the DMinorX process, the author note (brief — the book has its own site), the Masterbuilder identity</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A7B3A" w:sz="8"/>
              <w:left w:val="single" w:color="1B2A4A" w:sz="20"/>
              <w:bottom w:val="single" w:color="CCCCCC" w:sz="1"/>
              <w:right w:val="single" w:color="CCCCCC" w:sz="1"/>
            </w:tcBorders>
            <w:shd w:fill="EEEDF0" w:val="clear"/>
            <w:tcMar>
              <w:top w:type="dxa" w:w="140"/>
              <w:left w:type="dxa" w:w="200"/>
              <w:bottom w:type="dxa" w:w="140"/>
              <w:right w:type="dxa" w:w="200"/>
            </w:tcMar>
          </w:tcPr>
          <w:p>
            <w:pPr>
              <w:spacing w:after="60" w:before="0"/>
            </w:pPr>
            <w:r>
              <w:rPr>
                <w:rFonts w:ascii="Arial" w:cs="Arial" w:eastAsia="Arial" w:hAnsi="Arial"/>
                <w:b/>
                <w:bCs/>
                <w:color w:val="1B2A4A"/>
                <w:sz w:val="22"/>
                <w:szCs w:val="22"/>
              </w:rPr>
              <w:t xml:space="preserve">Contact</w:t>
            </w:r>
          </w:p>
          <w:p>
            <w:pPr>
              <w:spacing w:after="40" w:before="0"/>
            </w:pPr>
            <w:r>
              <w:rPr>
                <w:rFonts w:ascii="Arial" w:cs="Arial" w:eastAsia="Arial" w:hAnsi="Arial"/>
                <w:color w:val="C4A25B"/>
                <w:sz w:val="16"/>
                <w:szCs w:val="16"/>
              </w:rPr>
              <w:t xml:space="preserve">Path: /contact</w:t>
            </w:r>
          </w:p>
          <w:p>
            <w:pPr>
              <w:spacing w:after="40" w:before="0"/>
            </w:pPr>
            <w:r>
              <w:rPr>
                <w:rFonts w:ascii="Arial" w:cs="Arial" w:eastAsia="Arial" w:hAnsi="Arial"/>
                <w:color w:val="666666"/>
                <w:sz w:val="16"/>
                <w:szCs w:val="16"/>
              </w:rPr>
              <w:t xml:space="preserve">Audience: All audiences</w:t>
            </w:r>
          </w:p>
          <w:p>
            <w:pPr>
              <w:spacing w:after="100" w:before="0"/>
            </w:pPr>
            <w:r>
              <w:rPr>
                <w:rFonts w:ascii="Arial" w:cs="Arial" w:eastAsia="Arial" w:hAnsi="Arial"/>
                <w:color w:val="666666"/>
                <w:sz w:val="16"/>
                <w:szCs w:val="16"/>
              </w:rPr>
              <w:t xml:space="preserve">Purpose: Convert every visit into a trackable inquiry.</w:t>
            </w:r>
          </w:p>
          <w:p>
            <w:pPr>
              <w:pStyle w:val="ListParagraph"/>
              <w:numPr>
                <w:ilvl w:val="0"/>
                <w:numId w:val="2"/>
              </w:numPr>
              <w:spacing w:after="50" w:before="30"/>
            </w:pPr>
            <w:r>
              <w:rPr>
                <w:rFonts w:ascii="Arial" w:cs="Arial" w:eastAsia="Arial" w:hAnsi="Arial"/>
                <w:color w:val="2C2C2C"/>
                <w:sz w:val="19"/>
                <w:szCs w:val="19"/>
              </w:rPr>
              <w:t xml:space="preserve">Two distinct contact paths: Advisor Inquiry (routes to Sopro integration or direct email) and Institutional Inquiry (routes to James directly)</w:t>
            </w:r>
          </w:p>
          <w:p>
            <w:pPr>
              <w:pStyle w:val="ListParagraph"/>
              <w:numPr>
                <w:ilvl w:val="0"/>
                <w:numId w:val="2"/>
              </w:numPr>
              <w:spacing w:after="50" w:before="30"/>
            </w:pPr>
            <w:r>
              <w:rPr>
                <w:rFonts w:ascii="Arial" w:cs="Arial" w:eastAsia="Arial" w:hAnsi="Arial"/>
                <w:color w:val="2C2C2C"/>
                <w:sz w:val="19"/>
                <w:szCs w:val="19"/>
              </w:rPr>
              <w:t xml:space="preserve">Advisor path CTA: 'Book a 20-minute call' — specific, consistent with the emails</w:t>
            </w:r>
          </w:p>
          <w:p>
            <w:pPr>
              <w:pStyle w:val="ListParagraph"/>
              <w:numPr>
                <w:ilvl w:val="0"/>
                <w:numId w:val="2"/>
              </w:numPr>
              <w:spacing w:after="50" w:before="30"/>
            </w:pPr>
            <w:r>
              <w:rPr>
                <w:rFonts w:ascii="Arial" w:cs="Arial" w:eastAsia="Arial" w:hAnsi="Arial"/>
                <w:color w:val="2C2C2C"/>
                <w:sz w:val="19"/>
                <w:szCs w:val="19"/>
              </w:rPr>
              <w:t xml:space="preserve">Institutional path CTA: 'Start a conversation' — lower pressure, appropriate for the relationship length</w:t>
            </w:r>
          </w:p>
          <w:p>
            <w:pPr>
              <w:pStyle w:val="ListParagraph"/>
              <w:numPr>
                <w:ilvl w:val="0"/>
                <w:numId w:val="2"/>
              </w:numPr>
              <w:spacing w:after="50" w:before="30"/>
            </w:pPr>
            <w:r>
              <w:rPr>
                <w:rFonts w:ascii="Arial" w:cs="Arial" w:eastAsia="Arial" w:hAnsi="Arial"/>
                <w:color w:val="2C2C2C"/>
                <w:sz w:val="19"/>
                <w:szCs w:val="19"/>
              </w:rPr>
              <w:t xml:space="preserve">Phone and email visible on page: 212.771.6100 and jef@paradigmasset.com</w:t>
            </w:r>
          </w:p>
          <w:p>
            <w:pPr>
              <w:pStyle w:val="ListParagraph"/>
              <w:numPr>
                <w:ilvl w:val="0"/>
                <w:numId w:val="2"/>
              </w:numPr>
              <w:spacing w:after="50" w:before="30"/>
            </w:pPr>
            <w:r>
              <w:rPr>
                <w:rFonts w:ascii="Arial" w:cs="Arial" w:eastAsia="Arial" w:hAnsi="Arial"/>
                <w:color w:val="2C2C2C"/>
                <w:sz w:val="19"/>
                <w:szCs w:val="19"/>
              </w:rPr>
              <w:t xml:space="preserve">No generic contact form as the primary element — specific paths first</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A7B3A" w:sz="8"/>
              <w:left w:val="single" w:color="1B2A4A" w:sz="20"/>
              <w:bottom w:val="single" w:color="CCCCCC" w:sz="1"/>
              <w:right w:val="single" w:color="CCCCCC" w:sz="1"/>
            </w:tcBorders>
            <w:shd w:fill="EEEDF0" w:val="clear"/>
            <w:tcMar>
              <w:top w:type="dxa" w:w="140"/>
              <w:left w:type="dxa" w:w="200"/>
              <w:bottom w:type="dxa" w:w="140"/>
              <w:right w:type="dxa" w:w="200"/>
            </w:tcMar>
          </w:tcPr>
          <w:p>
            <w:pPr>
              <w:spacing w:after="60" w:before="0"/>
            </w:pPr>
            <w:r>
              <w:rPr>
                <w:rFonts w:ascii="Arial" w:cs="Arial" w:eastAsia="Arial" w:hAnsi="Arial"/>
                <w:b/>
                <w:bCs/>
                <w:color w:val="1B2A4A"/>
                <w:sz w:val="22"/>
                <w:szCs w:val="22"/>
              </w:rPr>
              <w:t xml:space="preserve">Legal</w:t>
            </w:r>
          </w:p>
          <w:p>
            <w:pPr>
              <w:spacing w:after="40" w:before="0"/>
            </w:pPr>
            <w:r>
              <w:rPr>
                <w:rFonts w:ascii="Arial" w:cs="Arial" w:eastAsia="Arial" w:hAnsi="Arial"/>
                <w:color w:val="C4A25B"/>
                <w:sz w:val="16"/>
                <w:szCs w:val="16"/>
              </w:rPr>
              <w:t xml:space="preserve">Path: /legal</w:t>
            </w:r>
          </w:p>
          <w:p>
            <w:pPr>
              <w:spacing w:after="40" w:before="0"/>
            </w:pPr>
            <w:r>
              <w:rPr>
                <w:rFonts w:ascii="Arial" w:cs="Arial" w:eastAsia="Arial" w:hAnsi="Arial"/>
                <w:color w:val="666666"/>
                <w:sz w:val="16"/>
                <w:szCs w:val="16"/>
              </w:rPr>
              <w:t xml:space="preserve">Audience: Compliance requirement</w:t>
            </w:r>
          </w:p>
          <w:p>
            <w:pPr>
              <w:spacing w:after="100" w:before="0"/>
            </w:pPr>
            <w:r>
              <w:rPr>
                <w:rFonts w:ascii="Arial" w:cs="Arial" w:eastAsia="Arial" w:hAnsi="Arial"/>
                <w:color w:val="666666"/>
                <w:sz w:val="16"/>
                <w:szCs w:val="16"/>
              </w:rPr>
              <w:t xml:space="preserve">Purpose: SEC-required disclosures.</w:t>
            </w:r>
          </w:p>
          <w:p>
            <w:pPr>
              <w:pStyle w:val="ListParagraph"/>
              <w:numPr>
                <w:ilvl w:val="0"/>
                <w:numId w:val="2"/>
              </w:numPr>
              <w:spacing w:after="50" w:before="30"/>
            </w:pPr>
            <w:r>
              <w:rPr>
                <w:rFonts w:ascii="Arial" w:cs="Arial" w:eastAsia="Arial" w:hAnsi="Arial"/>
                <w:color w:val="2C2C2C"/>
                <w:sz w:val="19"/>
                <w:szCs w:val="19"/>
              </w:rPr>
              <w:t xml:space="preserve">ADV Part 2 link or download</w:t>
            </w:r>
          </w:p>
          <w:p>
            <w:pPr>
              <w:pStyle w:val="ListParagraph"/>
              <w:numPr>
                <w:ilvl w:val="0"/>
                <w:numId w:val="2"/>
              </w:numPr>
              <w:spacing w:after="50" w:before="30"/>
            </w:pPr>
            <w:r>
              <w:rPr>
                <w:rFonts w:ascii="Arial" w:cs="Arial" w:eastAsia="Arial" w:hAnsi="Arial"/>
                <w:color w:val="2C2C2C"/>
                <w:sz w:val="19"/>
                <w:szCs w:val="19"/>
              </w:rPr>
              <w:t xml:space="preserve">Privacy policy</w:t>
            </w:r>
          </w:p>
          <w:p>
            <w:pPr>
              <w:pStyle w:val="ListParagraph"/>
              <w:numPr>
                <w:ilvl w:val="0"/>
                <w:numId w:val="2"/>
              </w:numPr>
              <w:spacing w:after="50" w:before="30"/>
            </w:pPr>
            <w:r>
              <w:rPr>
                <w:rFonts w:ascii="Arial" w:cs="Arial" w:eastAsia="Arial" w:hAnsi="Arial"/>
                <w:color w:val="2C2C2C"/>
                <w:sz w:val="19"/>
                <w:szCs w:val="19"/>
              </w:rPr>
              <w:t xml:space="preserve">Standard RIA disclosure language</w:t>
            </w:r>
          </w:p>
          <w:p>
            <w:pPr>
              <w:pStyle w:val="ListParagraph"/>
              <w:numPr>
                <w:ilvl w:val="0"/>
                <w:numId w:val="2"/>
              </w:numPr>
              <w:spacing w:after="50" w:before="30"/>
            </w:pPr>
            <w:r>
              <w:rPr>
                <w:rFonts w:ascii="Arial" w:cs="Arial" w:eastAsia="Arial" w:hAnsi="Arial"/>
                <w:color w:val="2C2C2C"/>
                <w:sz w:val="19"/>
                <w:szCs w:val="19"/>
              </w:rPr>
              <w:t xml:space="preserve">No marketing content on this page</w:t>
            </w:r>
          </w:p>
        </w:tc>
      </w:tr>
    </w:tbl>
    <w:p>
      <w:pPr>
        <w:spacing w:after="0" w:before="20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2A4A" w:val="clear"/>
            <w:tcMar>
              <w:top w:type="dxa" w:w="180"/>
              <w:left w:type="dxa" w:w="320"/>
              <w:bottom w:type="dxa" w:w="180"/>
              <w:right w:type="dxa" w:w="320"/>
            </w:tcMar>
          </w:tcPr>
          <w:p>
            <w:pPr>
              <w:spacing w:after="70" w:before="0"/>
            </w:pPr>
            <w:r>
              <w:rPr>
                <w:rFonts w:ascii="Arial" w:cs="Arial" w:eastAsia="Arial" w:hAnsi="Arial"/>
                <w:b/>
                <w:bCs/>
                <w:color w:val="C4A25B"/>
                <w:spacing w:val="80"/>
                <w:sz w:val="16"/>
                <w:szCs w:val="16"/>
              </w:rPr>
              <w:t xml:space="preserve">SECTION 04</w:t>
            </w:r>
          </w:p>
          <w:p>
            <w:pPr>
              <w:spacing w:after="70" w:before="0"/>
            </w:pPr>
            <w:r>
              <w:rPr>
                <w:rFonts w:ascii="Arial" w:cs="Arial" w:eastAsia="Arial" w:hAnsi="Arial"/>
                <w:b/>
                <w:bCs/>
                <w:color w:val="FFFFFF"/>
                <w:sz w:val="30"/>
                <w:szCs w:val="30"/>
              </w:rPr>
              <w:t xml:space="preserve">Copy Direction</w:t>
            </w:r>
          </w:p>
          <w:p>
            <w:pPr>
              <w:spacing w:after="0" w:before="0"/>
            </w:pPr>
            <w:r>
              <w:rPr>
                <w:rFonts w:ascii="Arial" w:cs="Arial" w:eastAsia="Arial" w:hAnsi="Arial"/>
                <w:color w:val="BBBBBB"/>
                <w:sz w:val="18"/>
                <w:szCs w:val="18"/>
              </w:rPr>
              <w:t xml:space="preserve">The words. What to say and how to say it on each key section.</w:t>
            </w:r>
          </w:p>
        </w:tc>
      </w:tr>
    </w:tbl>
    <w:p>
      <w:pPr>
        <w:spacing w:after="0" w:before="220"/>
      </w:pPr>
      <w:r>
        <w:t xml:space="preserve"/>
      </w:r>
    </w:p>
    <w:p>
      <w:pPr>
        <w:spacing w:after="160" w:before="0"/>
      </w:pPr>
      <w:r>
        <w:rPr>
          <w:rFonts w:ascii="Arial" w:cs="Arial" w:eastAsia="Arial" w:hAnsi="Arial"/>
          <w:b w:val="false"/>
          <w:bCs w:val="false"/>
          <w:color w:val="2C2C2C"/>
          <w:sz w:val="20"/>
          <w:szCs w:val="20"/>
        </w:rPr>
        <w:t xml:space="preserve">Copy is written before components are built. The developer builds to the copy, not the other way around. These are the working copy directions for each major section. Final copy to be approved before development begins on each page.</w:t>
      </w:r>
    </w:p>
    <w:p>
      <w:pPr>
        <w:pStyle w:val="Heading2"/>
        <w:spacing w:after="100" w:before="320"/>
      </w:pPr>
      <w:r>
        <w:rPr>
          <w:rFonts w:ascii="Arial" w:cs="Arial" w:eastAsia="Arial" w:hAnsi="Arial"/>
          <w:b/>
          <w:bCs/>
          <w:color w:val="1B2A4A"/>
          <w:sz w:val="28"/>
          <w:szCs w:val="28"/>
        </w:rPr>
        <w:t xml:space="preserve">Approved Copy — See Website Copy documents for full page copy</w:t>
      </w:r>
    </w:p>
    <w:p>
      <w:pPr>
        <w:spacing w:after="160" w:before="0"/>
      </w:pPr>
      <w:r>
        <w:rPr>
          <w:rFonts w:ascii="Arial" w:cs="Arial" w:eastAsia="Arial" w:hAnsi="Arial"/>
          <w:b w:val="false"/>
          <w:bCs w:val="false"/>
          <w:color w:val="666666"/>
          <w:sz w:val="20"/>
          <w:szCs w:val="20"/>
        </w:rPr>
        <w:t xml:space="preserve">All copy has been finalized in two companion documents: Website Copy Phase 1 v3 (Home + For Advisors) and Website Copy Phase 2 (For Institutions + Our Process + About + Contact). Approved headlines below for quick reference. Build from the copy documents.</w:t>
      </w:r>
    </w:p>
    <w:p>
      <w:pPr>
        <w:spacing w:after="0" w:before="160"/>
      </w:pPr>
      <w:r>
        <w:t xml:space="preserve"/>
      </w:r>
    </w:p>
    <w:p>
      <w:pPr>
        <w:pStyle w:val="Heading2"/>
        <w:spacing w:after="100" w:before="320"/>
      </w:pPr>
      <w:r>
        <w:rPr>
          <w:rFonts w:ascii="Arial" w:cs="Arial" w:eastAsia="Arial" w:hAnsi="Arial"/>
          <w:b/>
          <w:bCs/>
          <w:color w:val="1B2A4A"/>
          <w:sz w:val="28"/>
          <w:szCs w:val="28"/>
        </w:rPr>
        <w:t xml:space="preserve">Home Page — Approved Hero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9A7B3A" w:sz="16"/>
              <w:bottom w:val="single" w:color="CCCCCC" w:sz="1"/>
              <w:right w:val="single" w:color="CCCCCC" w:sz="1"/>
            </w:tcBorders>
            <w:shd w:fill="FAFAF8" w:val="clear"/>
            <w:tcMar>
              <w:top w:type="dxa" w:w="120"/>
              <w:left w:type="dxa" w:w="200"/>
              <w:bottom w:type="dxa" w:w="120"/>
              <w:right w:type="dxa" w:w="200"/>
            </w:tcMar>
          </w:tcPr>
          <w:p>
            <w:pPr>
              <w:spacing w:after="80" w:before="0"/>
            </w:pPr>
            <w:r>
              <w:rPr>
                <w:rFonts w:ascii="Arial" w:cs="Arial" w:eastAsia="Arial" w:hAnsi="Arial"/>
                <w:b/>
                <w:bCs/>
                <w:color w:val="C4A25B"/>
                <w:sz w:val="15"/>
                <w:szCs w:val="15"/>
              </w:rPr>
              <w:t xml:space="preserve">H1 — APPROVED</w:t>
            </w:r>
          </w:p>
          <w:p>
            <w:pPr>
              <w:spacing w:after="0" w:before="0"/>
            </w:pPr>
            <w:r>
              <w:rPr>
                <w:rFonts w:ascii="Arial" w:cs="Arial" w:eastAsia="Arial" w:hAnsi="Arial"/>
                <w:color w:val="2C2C2C"/>
                <w:sz w:val="20"/>
                <w:szCs w:val="20"/>
              </w:rPr>
              <w:t xml:space="preserve">The collective intelligence of the market.
Built into every portfolio.</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9A7B3A" w:sz="16"/>
              <w:bottom w:val="single" w:color="CCCCCC" w:sz="1"/>
              <w:right w:val="single" w:color="CCCCCC" w:sz="1"/>
            </w:tcBorders>
            <w:shd w:fill="FAFAF8" w:val="clear"/>
            <w:tcMar>
              <w:top w:type="dxa" w:w="120"/>
              <w:left w:type="dxa" w:w="200"/>
              <w:bottom w:type="dxa" w:w="120"/>
              <w:right w:type="dxa" w:w="200"/>
            </w:tcMar>
          </w:tcPr>
          <w:p>
            <w:pPr>
              <w:spacing w:after="80" w:before="0"/>
            </w:pPr>
            <w:r>
              <w:rPr>
                <w:rFonts w:ascii="Arial" w:cs="Arial" w:eastAsia="Arial" w:hAnsi="Arial"/>
                <w:b/>
                <w:bCs/>
                <w:color w:val="C4A25B"/>
                <w:sz w:val="15"/>
                <w:szCs w:val="15"/>
              </w:rPr>
              <w:t xml:space="preserve">SUBHEADING — APPROVED</w:t>
            </w:r>
          </w:p>
          <w:p>
            <w:pPr>
              <w:spacing w:after="0" w:before="0"/>
            </w:pPr>
            <w:r>
              <w:rPr>
                <w:rFonts w:ascii="Arial" w:cs="Arial" w:eastAsia="Arial" w:hAnsi="Arial"/>
                <w:color w:val="2C2C2C"/>
                <w:sz w:val="20"/>
                <w:szCs w:val="20"/>
              </w:rPr>
              <w:t xml:space="preserve">Paradigm identifies where market leadership is forming — right now, within each mandate — and builds portfolios that reflect it. Portfolios that can move as leadership moves.</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9A7B3A" w:sz="16"/>
              <w:bottom w:val="single" w:color="CCCCCC" w:sz="1"/>
              <w:right w:val="single" w:color="CCCCCC" w:sz="1"/>
            </w:tcBorders>
            <w:shd w:fill="FAFAF8" w:val="clear"/>
            <w:tcMar>
              <w:top w:type="dxa" w:w="120"/>
              <w:left w:type="dxa" w:w="200"/>
              <w:bottom w:type="dxa" w:w="120"/>
              <w:right w:type="dxa" w:w="200"/>
            </w:tcMar>
          </w:tcPr>
          <w:p>
            <w:pPr>
              <w:spacing w:after="80" w:before="0"/>
            </w:pPr>
            <w:r>
              <w:rPr>
                <w:rFonts w:ascii="Arial" w:cs="Arial" w:eastAsia="Arial" w:hAnsi="Arial"/>
                <w:b/>
                <w:bCs/>
                <w:color w:val="C4A25B"/>
                <w:sz w:val="15"/>
                <w:szCs w:val="15"/>
              </w:rPr>
              <w:t xml:space="preserve">CTAS</w:t>
            </w:r>
          </w:p>
          <w:p>
            <w:pPr>
              <w:spacing w:after="0" w:before="0"/>
            </w:pPr>
            <w:r>
              <w:rPr>
                <w:rFonts w:ascii="Arial" w:cs="Arial" w:eastAsia="Arial" w:hAnsi="Arial"/>
                <w:color w:val="2C2C2C"/>
                <w:sz w:val="20"/>
                <w:szCs w:val="20"/>
              </w:rPr>
              <w:t xml:space="preserve">For Advisors  →     For Institutions  →</w:t>
            </w:r>
          </w:p>
        </w:tc>
      </w:tr>
    </w:tbl>
    <w:p>
      <w:pPr>
        <w:spacing w:after="0" w:before="200"/>
      </w:pPr>
      <w:r>
        <w:t xml:space="preserve"/>
      </w:r>
    </w:p>
    <w:p>
      <w:pPr>
        <w:pStyle w:val="Heading2"/>
        <w:spacing w:after="100" w:before="320"/>
      </w:pPr>
      <w:r>
        <w:rPr>
          <w:rFonts w:ascii="Arial" w:cs="Arial" w:eastAsia="Arial" w:hAnsi="Arial"/>
          <w:b/>
          <w:bCs/>
          <w:color w:val="1B2A4A"/>
          <w:sz w:val="28"/>
          <w:szCs w:val="28"/>
        </w:rPr>
        <w:t xml:space="preserve">For Advisors — Approved Hero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9A7B3A" w:sz="16"/>
              <w:bottom w:val="single" w:color="CCCCCC" w:sz="1"/>
              <w:right w:val="single" w:color="CCCCCC" w:sz="1"/>
            </w:tcBorders>
            <w:shd w:fill="FAFAF8" w:val="clear"/>
            <w:tcMar>
              <w:top w:type="dxa" w:w="120"/>
              <w:left w:type="dxa" w:w="200"/>
              <w:bottom w:type="dxa" w:w="120"/>
              <w:right w:type="dxa" w:w="200"/>
            </w:tcMar>
          </w:tcPr>
          <w:p>
            <w:pPr>
              <w:spacing w:after="80" w:before="0"/>
            </w:pPr>
            <w:r>
              <w:rPr>
                <w:rFonts w:ascii="Arial" w:cs="Arial" w:eastAsia="Arial" w:hAnsi="Arial"/>
                <w:b/>
                <w:bCs/>
                <w:color w:val="C4A25B"/>
                <w:sz w:val="15"/>
                <w:szCs w:val="15"/>
              </w:rPr>
              <w:t xml:space="preserve">H1 — APPROVED</w:t>
            </w:r>
          </w:p>
          <w:p>
            <w:pPr>
              <w:spacing w:after="0" w:before="0"/>
            </w:pPr>
            <w:r>
              <w:rPr>
                <w:rFonts w:ascii="Arial" w:cs="Arial" w:eastAsia="Arial" w:hAnsi="Arial"/>
                <w:color w:val="2C2C2C"/>
                <w:sz w:val="20"/>
                <w:szCs w:val="20"/>
              </w:rPr>
              <w:t xml:space="preserve">Your clients are paying active management fees. Most of that capital is locked inside a single strategy’s approach. There is a different way to invest it.</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9A7B3A" w:sz="16"/>
              <w:bottom w:val="single" w:color="CCCCCC" w:sz="1"/>
              <w:right w:val="single" w:color="CCCCCC" w:sz="1"/>
            </w:tcBorders>
            <w:shd w:fill="FAFAF8" w:val="clear"/>
            <w:tcMar>
              <w:top w:type="dxa" w:w="120"/>
              <w:left w:type="dxa" w:w="200"/>
              <w:bottom w:type="dxa" w:w="120"/>
              <w:right w:type="dxa" w:w="200"/>
            </w:tcMar>
          </w:tcPr>
          <w:p>
            <w:pPr>
              <w:spacing w:after="80" w:before="0"/>
            </w:pPr>
            <w:r>
              <w:rPr>
                <w:rFonts w:ascii="Arial" w:cs="Arial" w:eastAsia="Arial" w:hAnsi="Arial"/>
                <w:b/>
                <w:bCs/>
                <w:color w:val="C4A25B"/>
                <w:sz w:val="15"/>
                <w:szCs w:val="15"/>
              </w:rPr>
              <w:t xml:space="preserve">SUBHEADING — APPROVED</w:t>
            </w:r>
          </w:p>
          <w:p>
            <w:pPr>
              <w:spacing w:after="0" w:before="0"/>
            </w:pPr>
            <w:r>
              <w:rPr>
                <w:rFonts w:ascii="Arial" w:cs="Arial" w:eastAsia="Arial" w:hAnsi="Arial"/>
                <w:color w:val="2C2C2C"/>
                <w:sz w:val="20"/>
                <w:szCs w:val="20"/>
              </w:rPr>
              <w:t xml:space="preserve">Paradigm builds portfolios from active market data — not anchored to any single approach. Portfolios that can move as market leadership moves. Under your name.</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9A7B3A" w:sz="16"/>
              <w:bottom w:val="single" w:color="CCCCCC" w:sz="1"/>
              <w:right w:val="single" w:color="CCCCCC" w:sz="1"/>
            </w:tcBorders>
            <w:shd w:fill="FAFAF8" w:val="clear"/>
            <w:tcMar>
              <w:top w:type="dxa" w:w="120"/>
              <w:left w:type="dxa" w:w="200"/>
              <w:bottom w:type="dxa" w:w="120"/>
              <w:right w:type="dxa" w:w="200"/>
            </w:tcMar>
          </w:tcPr>
          <w:p>
            <w:pPr>
              <w:spacing w:after="80" w:before="0"/>
            </w:pPr>
            <w:r>
              <w:rPr>
                <w:rFonts w:ascii="Arial" w:cs="Arial" w:eastAsia="Arial" w:hAnsi="Arial"/>
                <w:b/>
                <w:bCs/>
                <w:color w:val="C4A25B"/>
                <w:sz w:val="15"/>
                <w:szCs w:val="15"/>
              </w:rPr>
              <w:t xml:space="preserve">CTA</w:t>
            </w:r>
          </w:p>
          <w:p>
            <w:pPr>
              <w:spacing w:after="0" w:before="0"/>
            </w:pPr>
            <w:r>
              <w:rPr>
                <w:rFonts w:ascii="Arial" w:cs="Arial" w:eastAsia="Arial" w:hAnsi="Arial"/>
                <w:color w:val="2C2C2C"/>
                <w:sz w:val="20"/>
                <w:szCs w:val="20"/>
              </w:rPr>
              <w:t xml:space="preserve">Book a 20-Minute Call</w:t>
            </w:r>
          </w:p>
        </w:tc>
      </w:tr>
    </w:tbl>
    <w:p>
      <w:pPr>
        <w:spacing w:after="0" w:before="200"/>
      </w:pPr>
      <w:r>
        <w:t xml:space="preserve"/>
      </w:r>
    </w:p>
    <w:p>
      <w:pPr>
        <w:pStyle w:val="Heading2"/>
        <w:spacing w:after="100" w:before="320"/>
      </w:pPr>
      <w:r>
        <w:rPr>
          <w:rFonts w:ascii="Arial" w:cs="Arial" w:eastAsia="Arial" w:hAnsi="Arial"/>
          <w:b/>
          <w:bCs/>
          <w:color w:val="1B2A4A"/>
          <w:sz w:val="28"/>
          <w:szCs w:val="28"/>
        </w:rPr>
        <w:t xml:space="preserve">For Institutions — Approved Hero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9A7B3A" w:sz="16"/>
              <w:bottom w:val="single" w:color="CCCCCC" w:sz="1"/>
              <w:right w:val="single" w:color="CCCCCC" w:sz="1"/>
            </w:tcBorders>
            <w:shd w:fill="FAFAF8" w:val="clear"/>
            <w:tcMar>
              <w:top w:type="dxa" w:w="120"/>
              <w:left w:type="dxa" w:w="200"/>
              <w:bottom w:type="dxa" w:w="120"/>
              <w:right w:type="dxa" w:w="200"/>
            </w:tcMar>
          </w:tcPr>
          <w:p>
            <w:pPr>
              <w:spacing w:after="80" w:before="0"/>
            </w:pPr>
            <w:r>
              <w:rPr>
                <w:rFonts w:ascii="Arial" w:cs="Arial" w:eastAsia="Arial" w:hAnsi="Arial"/>
                <w:b/>
                <w:bCs/>
                <w:color w:val="C4A25B"/>
                <w:sz w:val="15"/>
                <w:szCs w:val="15"/>
              </w:rPr>
              <w:t xml:space="preserve">H1 — APPROVED</w:t>
            </w:r>
          </w:p>
          <w:p>
            <w:pPr>
              <w:spacing w:after="0" w:before="0"/>
            </w:pPr>
            <w:r>
              <w:rPr>
                <w:rFonts w:ascii="Arial" w:cs="Arial" w:eastAsia="Arial" w:hAnsi="Arial"/>
                <w:color w:val="2C2C2C"/>
                <w:sz w:val="20"/>
                <w:szCs w:val="20"/>
              </w:rPr>
              <w:t xml:space="preserve">35 years of institutional investment process. The same intelligence that served General Motors, AMEX, and the US Treasury — now structured for the partnerships, mandates, and platforms that define what comes next.</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9A7B3A" w:sz="16"/>
              <w:bottom w:val="single" w:color="CCCCCC" w:sz="1"/>
              <w:right w:val="single" w:color="CCCCCC" w:sz="1"/>
            </w:tcBorders>
            <w:shd w:fill="FAFAF8" w:val="clear"/>
            <w:tcMar>
              <w:top w:type="dxa" w:w="120"/>
              <w:left w:type="dxa" w:w="200"/>
              <w:bottom w:type="dxa" w:w="120"/>
              <w:right w:type="dxa" w:w="200"/>
            </w:tcMar>
          </w:tcPr>
          <w:p>
            <w:pPr>
              <w:spacing w:after="80" w:before="0"/>
            </w:pPr>
            <w:r>
              <w:rPr>
                <w:rFonts w:ascii="Arial" w:cs="Arial" w:eastAsia="Arial" w:hAnsi="Arial"/>
                <w:b/>
                <w:bCs/>
                <w:color w:val="C4A25B"/>
                <w:sz w:val="15"/>
                <w:szCs w:val="15"/>
              </w:rPr>
              <w:t xml:space="preserve">SUBHEADING — APPROVED</w:t>
            </w:r>
          </w:p>
          <w:p>
            <w:pPr>
              <w:spacing w:after="0" w:before="0"/>
            </w:pPr>
            <w:r>
              <w:rPr>
                <w:rFonts w:ascii="Arial" w:cs="Arial" w:eastAsia="Arial" w:hAnsi="Arial"/>
                <w:color w:val="2C2C2C"/>
                <w:sz w:val="20"/>
                <w:szCs w:val="20"/>
              </w:rPr>
              <w:t xml:space="preserve">Paradigm reads active market data to identify where leadership is forming within each mandate — and builds portfolios from that signal. Transparent. Explainable. No black box.</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9A7B3A" w:sz="16"/>
              <w:bottom w:val="single" w:color="CCCCCC" w:sz="1"/>
              <w:right w:val="single" w:color="CCCCCC" w:sz="1"/>
            </w:tcBorders>
            <w:shd w:fill="FAFAF8" w:val="clear"/>
            <w:tcMar>
              <w:top w:type="dxa" w:w="120"/>
              <w:left w:type="dxa" w:w="200"/>
              <w:bottom w:type="dxa" w:w="120"/>
              <w:right w:type="dxa" w:w="200"/>
            </w:tcMar>
          </w:tcPr>
          <w:p>
            <w:pPr>
              <w:spacing w:after="80" w:before="0"/>
            </w:pPr>
            <w:r>
              <w:rPr>
                <w:rFonts w:ascii="Arial" w:cs="Arial" w:eastAsia="Arial" w:hAnsi="Arial"/>
                <w:b/>
                <w:bCs/>
                <w:color w:val="C4A25B"/>
                <w:sz w:val="15"/>
                <w:szCs w:val="15"/>
              </w:rPr>
              <w:t xml:space="preserve">CTA</w:t>
            </w:r>
          </w:p>
          <w:p>
            <w:pPr>
              <w:spacing w:after="0" w:before="0"/>
            </w:pPr>
            <w:r>
              <w:rPr>
                <w:rFonts w:ascii="Arial" w:cs="Arial" w:eastAsia="Arial" w:hAnsi="Arial"/>
                <w:color w:val="2C2C2C"/>
                <w:sz w:val="20"/>
                <w:szCs w:val="20"/>
              </w:rPr>
              <w:t xml:space="preserve">Start a Conversation</w:t>
            </w:r>
          </w:p>
        </w:tc>
      </w:tr>
    </w:tbl>
    <w:p>
      <w:pPr>
        <w:spacing w:after="0" w:before="200"/>
      </w:pPr>
      <w:r>
        <w:t xml:space="preserve"/>
      </w:r>
    </w:p>
    <w:p>
      <w:pPr>
        <w:pStyle w:val="Heading2"/>
        <w:spacing w:after="100" w:before="320"/>
      </w:pPr>
      <w:r>
        <w:rPr>
          <w:rFonts w:ascii="Arial" w:cs="Arial" w:eastAsia="Arial" w:hAnsi="Arial"/>
          <w:b/>
          <w:bCs/>
          <w:color w:val="1B2A4A"/>
          <w:sz w:val="28"/>
          <w:szCs w:val="28"/>
        </w:rPr>
        <w:t xml:space="preserve">Our Process — Approved Hero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9A7B3A" w:sz="16"/>
              <w:bottom w:val="single" w:color="CCCCCC" w:sz="1"/>
              <w:right w:val="single" w:color="CCCCCC" w:sz="1"/>
            </w:tcBorders>
            <w:shd w:fill="FAFAF8" w:val="clear"/>
            <w:tcMar>
              <w:top w:type="dxa" w:w="120"/>
              <w:left w:type="dxa" w:w="200"/>
              <w:bottom w:type="dxa" w:w="120"/>
              <w:right w:type="dxa" w:w="200"/>
            </w:tcMar>
          </w:tcPr>
          <w:p>
            <w:pPr>
              <w:spacing w:after="80" w:before="0"/>
            </w:pPr>
            <w:r>
              <w:rPr>
                <w:rFonts w:ascii="Arial" w:cs="Arial" w:eastAsia="Arial" w:hAnsi="Arial"/>
                <w:b/>
                <w:bCs/>
                <w:color w:val="C4A25B"/>
                <w:sz w:val="15"/>
                <w:szCs w:val="15"/>
              </w:rPr>
              <w:t xml:space="preserve">H1 — APPROVED</w:t>
            </w:r>
          </w:p>
          <w:p>
            <w:pPr>
              <w:spacing w:after="0" w:before="0"/>
            </w:pPr>
            <w:r>
              <w:rPr>
                <w:rFonts w:ascii="Arial" w:cs="Arial" w:eastAsia="Arial" w:hAnsi="Arial"/>
                <w:color w:val="2C2C2C"/>
                <w:sz w:val="20"/>
                <w:szCs w:val="20"/>
              </w:rPr>
              <w:t xml:space="preserve">Systematic. Transparent. Explainable at every step.</w:t>
            </w:r>
          </w:p>
        </w:tc>
      </w:tr>
    </w:tbl>
    <w:p>
      <w:pPr>
        <w:spacing w:after="0" w:before="200"/>
      </w:pPr>
      <w:r>
        <w:t xml:space="preserve"/>
      </w:r>
    </w:p>
    <w:p>
      <w:pPr>
        <w:pStyle w:val="Heading2"/>
        <w:spacing w:after="100" w:before="320"/>
      </w:pPr>
      <w:r>
        <w:rPr>
          <w:rFonts w:ascii="Arial" w:cs="Arial" w:eastAsia="Arial" w:hAnsi="Arial"/>
          <w:b/>
          <w:bCs/>
          <w:color w:val="1B2A4A"/>
          <w:sz w:val="28"/>
          <w:szCs w:val="28"/>
        </w:rPr>
        <w:t xml:space="preserve">About — Approved Hero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9A7B3A" w:sz="16"/>
              <w:bottom w:val="single" w:color="CCCCCC" w:sz="1"/>
              <w:right w:val="single" w:color="CCCCCC" w:sz="1"/>
            </w:tcBorders>
            <w:shd w:fill="FAFAF8" w:val="clear"/>
            <w:tcMar>
              <w:top w:type="dxa" w:w="120"/>
              <w:left w:type="dxa" w:w="200"/>
              <w:bottom w:type="dxa" w:w="120"/>
              <w:right w:type="dxa" w:w="200"/>
            </w:tcMar>
          </w:tcPr>
          <w:p>
            <w:pPr>
              <w:spacing w:after="80" w:before="0"/>
            </w:pPr>
            <w:r>
              <w:rPr>
                <w:rFonts w:ascii="Arial" w:cs="Arial" w:eastAsia="Arial" w:hAnsi="Arial"/>
                <w:b/>
                <w:bCs/>
                <w:color w:val="C4A25B"/>
                <w:sz w:val="15"/>
                <w:szCs w:val="15"/>
              </w:rPr>
              <w:t xml:space="preserve">H1 — APPROVED</w:t>
            </w:r>
          </w:p>
          <w:p>
            <w:pPr>
              <w:spacing w:after="0" w:before="0"/>
            </w:pPr>
            <w:r>
              <w:rPr>
                <w:rFonts w:ascii="Arial" w:cs="Arial" w:eastAsia="Arial" w:hAnsi="Arial"/>
                <w:color w:val="2C2C2C"/>
                <w:sz w:val="20"/>
                <w:szCs w:val="20"/>
              </w:rPr>
              <w:t xml:space="preserve">Built on a single conviction. Run for 35 years. Now accessible to the partners and platforms that need it most.</w:t>
            </w:r>
          </w:p>
        </w:tc>
      </w:tr>
    </w:tbl>
    <w:p>
      <w:pPr>
        <w:spacing w:after="0" w:before="200"/>
      </w:pPr>
      <w:r>
        <w:t xml:space="preserve"/>
      </w:r>
    </w:p>
    <w:p>
      <w:pPr>
        <w:pStyle w:val="Heading2"/>
        <w:spacing w:after="100" w:before="320"/>
      </w:pPr>
      <w:r>
        <w:rPr>
          <w:rFonts w:ascii="Arial" w:cs="Arial" w:eastAsia="Arial" w:hAnsi="Arial"/>
          <w:b/>
          <w:bCs/>
          <w:color w:val="1B2A4A"/>
          <w:sz w:val="28"/>
          <w:szCs w:val="28"/>
        </w:rPr>
        <w:t xml:space="preserve">Contact — Approved Hero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9A7B3A" w:sz="16"/>
              <w:bottom w:val="single" w:color="CCCCCC" w:sz="1"/>
              <w:right w:val="single" w:color="CCCCCC" w:sz="1"/>
            </w:tcBorders>
            <w:shd w:fill="FAFAF8" w:val="clear"/>
            <w:tcMar>
              <w:top w:type="dxa" w:w="120"/>
              <w:left w:type="dxa" w:w="200"/>
              <w:bottom w:type="dxa" w:w="120"/>
              <w:right w:type="dxa" w:w="200"/>
            </w:tcMar>
          </w:tcPr>
          <w:p>
            <w:pPr>
              <w:spacing w:after="80" w:before="0"/>
            </w:pPr>
            <w:r>
              <w:rPr>
                <w:rFonts w:ascii="Arial" w:cs="Arial" w:eastAsia="Arial" w:hAnsi="Arial"/>
                <w:b/>
                <w:bCs/>
                <w:color w:val="C4A25B"/>
                <w:sz w:val="15"/>
                <w:szCs w:val="15"/>
              </w:rPr>
              <w:t xml:space="preserve">H1 — APPROVED</w:t>
            </w:r>
          </w:p>
          <w:p>
            <w:pPr>
              <w:spacing w:after="0" w:before="0"/>
            </w:pPr>
            <w:r>
              <w:rPr>
                <w:rFonts w:ascii="Arial" w:cs="Arial" w:eastAsia="Arial" w:hAnsi="Arial"/>
                <w:color w:val="2C2C2C"/>
                <w:sz w:val="20"/>
                <w:szCs w:val="20"/>
              </w:rPr>
              <w:t xml:space="preserve">Start here.</w:t>
            </w:r>
          </w:p>
        </w:tc>
      </w:tr>
    </w:tbl>
    <w:p>
      <w:pPr>
        <w:spacing w:after="0" w:before="200"/>
      </w:pPr>
      <w:r>
        <w:t xml:space="preserve"/>
      </w:r>
    </w:p>
    <w:p>
      <w:pPr>
        <w:pStyle w:val="Heading2"/>
        <w:spacing w:after="100" w:before="320"/>
      </w:pPr>
      <w:r>
        <w:rPr>
          <w:rFonts w:ascii="Arial" w:cs="Arial" w:eastAsia="Arial" w:hAnsi="Arial"/>
          <w:b/>
          <w:bCs/>
          <w:color w:val="1B2A4A"/>
          <w:sz w:val="28"/>
          <w:szCs w:val="28"/>
        </w:rPr>
        <w:t xml:space="preserve">PaaS Product Section — For Advisors Page</w:t>
      </w:r>
    </w:p>
    <w:p>
      <w:pPr>
        <w:spacing w:after="100" w:before="0"/>
      </w:pPr>
      <w:r>
        <w:rPr>
          <w:rFonts w:ascii="Arial" w:cs="Arial" w:eastAsia="Arial" w:hAnsi="Arial"/>
          <w:b w:val="false"/>
          <w:bCs w:val="false"/>
          <w:color w:val="2C2C2C"/>
          <w:sz w:val="20"/>
          <w:szCs w:val="20"/>
        </w:rPr>
        <w:t xml:space="preserve">Three blocks side by side or stacked on mobile. Each block is one headline and two sentences. No feature lists.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9A7B3A" w:sz="16"/>
              <w:bottom w:val="single" w:color="CCCCCC" w:sz="1"/>
              <w:right w:val="single" w:color="CCCCCC" w:sz="1"/>
            </w:tcBorders>
            <w:shd w:fill="FAFAF8" w:val="clear"/>
            <w:tcMar>
              <w:top w:type="dxa" w:w="120"/>
              <w:left w:type="dxa" w:w="200"/>
              <w:bottom w:type="dxa" w:w="120"/>
              <w:right w:type="dxa" w:w="200"/>
            </w:tcMar>
          </w:tcPr>
          <w:p>
            <w:pPr>
              <w:spacing w:after="80" w:before="0"/>
            </w:pPr>
            <w:r>
              <w:rPr>
                <w:rFonts w:ascii="Arial" w:cs="Arial" w:eastAsia="Arial" w:hAnsi="Arial"/>
                <w:b/>
                <w:bCs/>
                <w:color w:val="C4A25B"/>
                <w:sz w:val="15"/>
                <w:szCs w:val="15"/>
              </w:rPr>
              <w:t xml:space="preserve">BLOCK 1 — SELF-SERVE PLATFORM</w:t>
            </w:r>
          </w:p>
          <w:p>
            <w:pPr>
              <w:spacing w:after="0" w:before="0"/>
            </w:pPr>
            <w:r>
              <w:rPr>
                <w:rFonts w:ascii="Arial" w:cs="Arial" w:eastAsia="Arial" w:hAnsi="Arial"/>
                <w:color w:val="2C2C2C"/>
                <w:sz w:val="20"/>
                <w:szCs w:val="20"/>
              </w:rPr>
              <w:t xml:space="preserve">Build portfolios your clients see as yours. Use Paradigm's platform to customize models to your specification and run tax-loss harvesting on the active positions — the same workflow you already use for direct indexing, extended to active strategies.</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9A7B3A" w:sz="16"/>
              <w:bottom w:val="single" w:color="CCCCCC" w:sz="1"/>
              <w:right w:val="single" w:color="CCCCCC" w:sz="1"/>
            </w:tcBorders>
            <w:shd w:fill="FAFAF8" w:val="clear"/>
            <w:tcMar>
              <w:top w:type="dxa" w:w="120"/>
              <w:left w:type="dxa" w:w="200"/>
              <w:bottom w:type="dxa" w:w="120"/>
              <w:right w:type="dxa" w:w="200"/>
            </w:tcMar>
          </w:tcPr>
          <w:p>
            <w:pPr>
              <w:spacing w:after="80" w:before="0"/>
            </w:pPr>
            <w:r>
              <w:rPr>
                <w:rFonts w:ascii="Arial" w:cs="Arial" w:eastAsia="Arial" w:hAnsi="Arial"/>
                <w:b/>
                <w:bCs/>
                <w:color w:val="C4A25B"/>
                <w:sz w:val="15"/>
                <w:szCs w:val="15"/>
              </w:rPr>
              <w:t xml:space="preserve">BLOCK 2 — WHITE GLOVE SERVICE</w:t>
            </w:r>
          </w:p>
          <w:p>
            <w:pPr>
              <w:spacing w:after="0" w:before="0"/>
            </w:pPr>
            <w:r>
              <w:rPr>
                <w:rFonts w:ascii="Arial" w:cs="Arial" w:eastAsia="Arial" w:hAnsi="Arial"/>
                <w:color w:val="2C2C2C"/>
                <w:sz w:val="20"/>
                <w:szCs w:val="20"/>
              </w:rPr>
              <w:t xml:space="preserve">Tell us what you need. Paradigm builds the portfolio to your specification. It sits on the platform. You operate the personalization and tax-loss harvesting for your clients. You own the client relationship. We build the product.</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9A7B3A" w:sz="16"/>
              <w:bottom w:val="single" w:color="CCCCCC" w:sz="1"/>
              <w:right w:val="single" w:color="CCCCCC" w:sz="1"/>
            </w:tcBorders>
            <w:shd w:fill="FAFAF8" w:val="clear"/>
            <w:tcMar>
              <w:top w:type="dxa" w:w="120"/>
              <w:left w:type="dxa" w:w="200"/>
              <w:bottom w:type="dxa" w:w="120"/>
              <w:right w:type="dxa" w:w="200"/>
            </w:tcMar>
          </w:tcPr>
          <w:p>
            <w:pPr>
              <w:spacing w:after="80" w:before="0"/>
            </w:pPr>
            <w:r>
              <w:rPr>
                <w:rFonts w:ascii="Arial" w:cs="Arial" w:eastAsia="Arial" w:hAnsi="Arial"/>
                <w:b/>
                <w:bCs/>
                <w:color w:val="C4A25B"/>
                <w:sz w:val="15"/>
                <w:szCs w:val="15"/>
              </w:rPr>
              <w:t xml:space="preserve">BLOCK 3 — COST EFFICIENCY</w:t>
            </w:r>
          </w:p>
          <w:p>
            <w:pPr>
              <w:spacing w:after="0" w:before="0"/>
            </w:pPr>
            <w:r>
              <w:rPr>
                <w:rFonts w:ascii="Arial" w:cs="Arial" w:eastAsia="Arial" w:hAnsi="Arial"/>
                <w:color w:val="2C2C2C"/>
                <w:sz w:val="20"/>
                <w:szCs w:val="20"/>
              </w:rPr>
              <w:t xml:space="preserve">Replace active managers charging 65 to 100 basis points with portfolios built from collective intelligence at a fraction of that cost. The margin difference stays with you. Your clients receive something better than what they had before.</w:t>
            </w:r>
          </w:p>
        </w:tc>
      </w:tr>
    </w:tbl>
    <w:p>
      <w:pPr>
        <w:spacing w:after="0" w:before="200"/>
      </w:pPr>
      <w:r>
        <w:t xml:space="preserve"/>
      </w:r>
    </w:p>
    <w:p>
      <w:pPr>
        <w:pStyle w:val="Heading2"/>
        <w:spacing w:after="100" w:before="320"/>
      </w:pPr>
      <w:r>
        <w:rPr>
          <w:rFonts w:ascii="Arial" w:cs="Arial" w:eastAsia="Arial" w:hAnsi="Arial"/>
          <w:b/>
          <w:bCs/>
          <w:color w:val="1B2A4A"/>
          <w:sz w:val="28"/>
          <w:szCs w:val="28"/>
        </w:rPr>
        <w:t xml:space="preserve">Proof Point — Appears on Home, For Advisors, and For Institutions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9A7B3A" w:sz="16"/>
              <w:bottom w:val="single" w:color="CCCCCC" w:sz="1"/>
              <w:right w:val="single" w:color="CCCCCC" w:sz="1"/>
            </w:tcBorders>
            <w:shd w:fill="FAFAF8" w:val="clear"/>
            <w:tcMar>
              <w:top w:type="dxa" w:w="120"/>
              <w:left w:type="dxa" w:w="200"/>
              <w:bottom w:type="dxa" w:w="120"/>
              <w:right w:type="dxa" w:w="200"/>
            </w:tcMar>
          </w:tcPr>
          <w:p>
            <w:pPr>
              <w:spacing w:after="80" w:before="0"/>
            </w:pPr>
            <w:r>
              <w:rPr>
                <w:rFonts w:ascii="Arial" w:cs="Arial" w:eastAsia="Arial" w:hAnsi="Arial"/>
                <w:b/>
                <w:bCs/>
                <w:color w:val="C4A25B"/>
                <w:sz w:val="15"/>
                <w:szCs w:val="15"/>
              </w:rPr>
              <w:t xml:space="preserve">INSTITUTIONAL VERSION</w:t>
            </w:r>
          </w:p>
          <w:p>
            <w:pPr>
              <w:spacing w:after="0" w:before="0"/>
            </w:pPr>
            <w:r>
              <w:rPr>
                <w:rFonts w:ascii="Arial" w:cs="Arial" w:eastAsia="Arial" w:hAnsi="Arial"/>
                <w:color w:val="2C2C2C"/>
                <w:sz w:val="20"/>
                <w:szCs w:val="20"/>
              </w:rPr>
              <w:t xml:space="preserve">Paradigm has worked with institutional clients including General Motors, AMEX, and the US Treasury over its 35-year history. The same investment intelligence is now available through institutional partnerships, model delivery, and custom mandates.</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9A7B3A" w:sz="16"/>
              <w:bottom w:val="single" w:color="CCCCCC" w:sz="1"/>
              <w:right w:val="single" w:color="CCCCCC" w:sz="1"/>
            </w:tcBorders>
            <w:shd w:fill="FAFAF8" w:val="clear"/>
            <w:tcMar>
              <w:top w:type="dxa" w:w="120"/>
              <w:left w:type="dxa" w:w="200"/>
              <w:bottom w:type="dxa" w:w="120"/>
              <w:right w:type="dxa" w:w="200"/>
            </w:tcMar>
          </w:tcPr>
          <w:p>
            <w:pPr>
              <w:spacing w:after="80" w:before="0"/>
            </w:pPr>
            <w:r>
              <w:rPr>
                <w:rFonts w:ascii="Arial" w:cs="Arial" w:eastAsia="Arial" w:hAnsi="Arial"/>
                <w:b/>
                <w:bCs/>
                <w:color w:val="C4A25B"/>
                <w:sz w:val="15"/>
                <w:szCs w:val="15"/>
              </w:rPr>
              <w:t xml:space="preserve">ADVISOR VERSION</w:t>
            </w:r>
          </w:p>
          <w:p>
            <w:pPr>
              <w:spacing w:after="0" w:before="0"/>
            </w:pPr>
            <w:r>
              <w:rPr>
                <w:rFonts w:ascii="Arial" w:cs="Arial" w:eastAsia="Arial" w:hAnsi="Arial"/>
                <w:color w:val="2C2C2C"/>
                <w:sz w:val="20"/>
                <w:szCs w:val="20"/>
              </w:rPr>
              <w:t xml:space="preserve">Paradigm has worked with institutional clients including General Motors, AMEX, and the US Treasury over its 35-year history. The same capability is now available to independent advisors.</w:t>
            </w:r>
          </w:p>
        </w:tc>
      </w:tr>
    </w:tbl>
    <w:p>
      <w:pPr>
        <w:spacing w:after="0" w:before="80"/>
      </w:pPr>
      <w:r>
        <w:t xml:space="preserve"/>
      </w:r>
    </w:p>
    <w:p>
      <w:pPr>
        <w:spacing w:after="200" w:before="0"/>
      </w:pPr>
      <w:r>
        <w:rPr>
          <w:rFonts w:ascii="Arial" w:cs="Arial" w:eastAsia="Arial" w:hAnsi="Arial"/>
          <w:b w:val="false"/>
          <w:bCs w:val="false"/>
          <w:color w:val="666666"/>
          <w:sz w:val="20"/>
          <w:szCs w:val="20"/>
        </w:rPr>
        <w:t xml:space="preserve">Note: the 65 of the top 100 US pension funds figure is accurate and can appear on the website in the appropriate institutional context. It should not appear in cold emails but it belongs on the site.</w:t>
      </w:r>
    </w:p>
    <w:p>
      <w:pPr>
        <w:pStyle w:val="Heading2"/>
        <w:spacing w:after="100" w:before="320"/>
      </w:pPr>
      <w:r>
        <w:rPr>
          <w:rFonts w:ascii="Arial" w:cs="Arial" w:eastAsia="Arial" w:hAnsi="Arial"/>
          <w:b/>
          <w:bCs/>
          <w:color w:val="1B2A4A"/>
          <w:sz w:val="28"/>
          <w:szCs w:val="28"/>
        </w:rPr>
        <w:t xml:space="preserve">About — James Francis Bio (placeholder direction)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9A7B3A" w:sz="16"/>
              <w:bottom w:val="single" w:color="CCCCCC" w:sz="1"/>
              <w:right w:val="single" w:color="CCCCCC" w:sz="1"/>
            </w:tcBorders>
            <w:shd w:fill="FAFAF8" w:val="clear"/>
            <w:tcMar>
              <w:top w:type="dxa" w:w="120"/>
              <w:left w:type="dxa" w:w="200"/>
              <w:bottom w:type="dxa" w:w="120"/>
              <w:right w:type="dxa" w:w="200"/>
            </w:tcMar>
          </w:tcPr>
          <w:p>
            <w:pPr>
              <w:spacing w:after="80" w:before="0"/>
            </w:pPr>
            <w:r>
              <w:rPr>
                <w:rFonts w:ascii="Arial" w:cs="Arial" w:eastAsia="Arial" w:hAnsi="Arial"/>
                <w:b/>
                <w:bCs/>
                <w:color w:val="C4A25B"/>
                <w:sz w:val="15"/>
                <w:szCs w:val="15"/>
              </w:rPr>
              <w:t xml:space="preserve">OPENING</w:t>
            </w:r>
          </w:p>
          <w:p>
            <w:pPr>
              <w:spacing w:after="0" w:before="0"/>
            </w:pPr>
            <w:r>
              <w:rPr>
                <w:rFonts w:ascii="Arial" w:cs="Arial" w:eastAsia="Arial" w:hAnsi="Arial"/>
                <w:color w:val="2C2C2C"/>
                <w:sz w:val="20"/>
                <w:szCs w:val="20"/>
              </w:rPr>
              <w:t xml:space="preserve">James Francis founded Paradigm Asset Management in 1990 on a single conviction: that the collective intelligence embedded in market data could be read, distilled, and expressed as portfolios that individual managers could not construct on their own. 35 years later that conviction has run through nine institutional clients, 65 of the nation's 100 largest pension funds over the firm's history, and a systematic investment process that is now being made available to the advisory and family office market for the first time.</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9A7B3A" w:sz="16"/>
              <w:bottom w:val="single" w:color="CCCCCC" w:sz="1"/>
              <w:right w:val="single" w:color="CCCCCC" w:sz="1"/>
            </w:tcBorders>
            <w:shd w:fill="FAFAF8" w:val="clear"/>
            <w:tcMar>
              <w:top w:type="dxa" w:w="120"/>
              <w:left w:type="dxa" w:w="200"/>
              <w:bottom w:type="dxa" w:w="120"/>
              <w:right w:type="dxa" w:w="200"/>
            </w:tcMar>
          </w:tcPr>
          <w:p>
            <w:pPr>
              <w:spacing w:after="80" w:before="0"/>
            </w:pPr>
            <w:r>
              <w:rPr>
                <w:rFonts w:ascii="Arial" w:cs="Arial" w:eastAsia="Arial" w:hAnsi="Arial"/>
                <w:b/>
                <w:bCs/>
                <w:color w:val="C4A25B"/>
                <w:sz w:val="15"/>
                <w:szCs w:val="15"/>
              </w:rPr>
              <w:t xml:space="preserve">CLOSING LINE</w:t>
            </w:r>
          </w:p>
          <w:p>
            <w:pPr>
              <w:spacing w:after="0" w:before="0"/>
            </w:pPr>
            <w:r>
              <w:rPr>
                <w:rFonts w:ascii="Arial" w:cs="Arial" w:eastAsia="Arial" w:hAnsi="Arial"/>
                <w:color w:val="2C2C2C"/>
                <w:sz w:val="20"/>
                <w:szCs w:val="20"/>
              </w:rPr>
              <w:t xml:space="preserve">James is the author of Artificial Integrity: Leadership in an Age of Intelligent Systems.</w:t>
            </w:r>
          </w:p>
        </w:tc>
      </w:tr>
    </w:tbl>
    <w:p>
      <w:pPr>
        <w:spacing w:after="0" w:before="20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2A4A" w:val="clear"/>
            <w:tcMar>
              <w:top w:type="dxa" w:w="180"/>
              <w:left w:type="dxa" w:w="320"/>
              <w:bottom w:type="dxa" w:w="180"/>
              <w:right w:type="dxa" w:w="320"/>
            </w:tcMar>
          </w:tcPr>
          <w:p>
            <w:pPr>
              <w:spacing w:after="70" w:before="0"/>
            </w:pPr>
            <w:r>
              <w:rPr>
                <w:rFonts w:ascii="Arial" w:cs="Arial" w:eastAsia="Arial" w:hAnsi="Arial"/>
                <w:b/>
                <w:bCs/>
                <w:color w:val="C4A25B"/>
                <w:spacing w:val="80"/>
                <w:sz w:val="16"/>
                <w:szCs w:val="16"/>
              </w:rPr>
              <w:t xml:space="preserve">SECTION 05</w:t>
            </w:r>
          </w:p>
          <w:p>
            <w:pPr>
              <w:spacing w:after="70" w:before="0"/>
            </w:pPr>
            <w:r>
              <w:rPr>
                <w:rFonts w:ascii="Arial" w:cs="Arial" w:eastAsia="Arial" w:hAnsi="Arial"/>
                <w:b/>
                <w:bCs/>
                <w:color w:val="FFFFFF"/>
                <w:sz w:val="30"/>
                <w:szCs w:val="30"/>
              </w:rPr>
              <w:t xml:space="preserve">Visual Language</w:t>
            </w:r>
          </w:p>
          <w:p>
            <w:pPr>
              <w:spacing w:after="0" w:before="0"/>
            </w:pPr>
            <w:r>
              <w:rPr>
                <w:rFonts w:ascii="Arial" w:cs="Arial" w:eastAsia="Arial" w:hAnsi="Arial"/>
                <w:color w:val="BBBBBB"/>
                <w:sz w:val="18"/>
                <w:szCs w:val="18"/>
              </w:rPr>
              <w:t xml:space="preserve">Design direction for the React developer</w:t>
            </w:r>
          </w:p>
        </w:tc>
      </w:tr>
    </w:tbl>
    <w:p>
      <w:pPr>
        <w:spacing w:after="0" w:before="220"/>
      </w:pPr>
      <w:r>
        <w:t xml:space="preserve"/>
      </w:r>
    </w:p>
    <w:p>
      <w:pPr>
        <w:pStyle w:val="Heading2"/>
        <w:spacing w:after="100" w:before="320"/>
      </w:pPr>
      <w:r>
        <w:rPr>
          <w:rFonts w:ascii="Arial" w:cs="Arial" w:eastAsia="Arial" w:hAnsi="Arial"/>
          <w:b/>
          <w:bCs/>
          <w:color w:val="1B2A4A"/>
          <w:sz w:val="28"/>
          <w:szCs w:val="28"/>
        </w:rPr>
        <w:t xml:space="preserve">The Aesthetic</w:t>
      </w:r>
    </w:p>
    <w:p>
      <w:pPr>
        <w:spacing w:after="160" w:before="0"/>
      </w:pPr>
      <w:r>
        <w:rPr>
          <w:rFonts w:ascii="Arial" w:cs="Arial" w:eastAsia="Arial" w:hAnsi="Arial"/>
          <w:b w:val="false"/>
          <w:bCs w:val="false"/>
          <w:color w:val="2C2C2C"/>
          <w:sz w:val="20"/>
          <w:szCs w:val="20"/>
        </w:rPr>
        <w:t xml:space="preserve">Institutional but forward-looking. Not a legacy asset manager with stock photos of handshakes. Not a fintech startup with gradients and animations. A firm at the inflection point between its 35-year institutional past and its platform future. Confident. Sophisticated. Warm.</w:t>
      </w:r>
    </w:p>
    <w:p>
      <w:pPr>
        <w:pStyle w:val="Heading2"/>
        <w:spacing w:after="100" w:before="320"/>
      </w:pPr>
      <w:r>
        <w:rPr>
          <w:rFonts w:ascii="Arial" w:cs="Arial" w:eastAsia="Arial" w:hAnsi="Arial"/>
          <w:b/>
          <w:bCs/>
          <w:color w:val="1B2A4A"/>
          <w:sz w:val="28"/>
          <w:szCs w:val="28"/>
        </w:rPr>
        <w:t xml:space="preserve">Brand Evolution Principle</w:t>
      </w:r>
    </w:p>
    <w:p>
      <w:pPr>
        <w:spacing w:after="200" w:before="0"/>
      </w:pPr>
      <w:r>
        <w:rPr>
          <w:rFonts w:ascii="Arial" w:cs="Arial" w:eastAsia="Arial" w:hAnsi="Arial"/>
          <w:b w:val="false"/>
          <w:bCs w:val="false"/>
          <w:color w:val="2C2C2C"/>
          <w:sz w:val="20"/>
          <w:szCs w:val="20"/>
        </w:rPr>
        <w:t xml:space="preserve">Paradigm has existing brand guidelines from 2006 that govern logo usage, colors, and typography across all marketing materials. The website must be consistent with and evolved from that brand — not a replacement of it. The logo stays. The dark blue stays. The system evolves where it has dated. The goal is a 2026 expression of the same firm, not a rebrand.</w:t>
      </w:r>
    </w:p>
    <w:p>
      <w:pPr>
        <w:pStyle w:val="Heading2"/>
        <w:spacing w:after="100" w:before="320"/>
      </w:pPr>
      <w:r>
        <w:rPr>
          <w:rFonts w:ascii="Arial" w:cs="Arial" w:eastAsia="Arial" w:hAnsi="Arial"/>
          <w:b/>
          <w:bCs/>
          <w:color w:val="1B2A4A"/>
          <w:sz w:val="28"/>
          <w:szCs w:val="28"/>
        </w:rPr>
        <w:t xml:space="preserve">Color Palette</w:t>
      </w:r>
    </w:p>
    <w:p>
      <w:pPr>
        <w:spacing w:after="120" w:before="0"/>
      </w:pPr>
      <w:r>
        <w:rPr>
          <w:rFonts w:ascii="Arial" w:cs="Arial" w:eastAsia="Arial" w:hAnsi="Arial"/>
          <w:b w:val="false"/>
          <w:bCs w:val="false"/>
          <w:color w:val="2C2C2C"/>
          <w:sz w:val="20"/>
          <w:szCs w:val="20"/>
        </w:rPr>
        <w:t xml:space="preserve">The 2006 brand specifies three primary colors. The website evolves two of them and retires one for the reasons noted.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EEEDF0" w:val="clear"/>
            <w:tcMar>
              <w:top w:type="dxa" w:w="80"/>
              <w:left w:type="dxa" w:w="120"/>
              <w:bottom w:type="dxa" w:w="80"/>
              <w:right w:type="dxa" w:w="120"/>
            </w:tcMar>
          </w:tcPr>
          <w:p>
            <w:r>
              <w:rPr>
                <w:rFonts w:ascii="Arial" w:cs="Arial" w:eastAsia="Arial" w:hAnsi="Arial"/>
                <w:b/>
                <w:bCs/>
                <w:color w:val="1B2A4A"/>
                <w:sz w:val="18"/>
                <w:szCs w:val="18"/>
              </w:rPr>
              <w:t xml:space="preserve">Primary — Paradigm Dark Blue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#34416D (R:52 G:65 B:109 per 2006 brand guidelines). This is the anchor color. Used for hero backgrounds, primary nav, section headers, and structural elements. It reads as serious, institutional, and ownable. Do not substitute.</w:t>
            </w:r>
          </w:p>
        </w:tc>
      </w:tr>
      <w:tr>
        <w:tc>
          <w:tcPr>
            <w:tcW w:type="dxa" w:w="2400"/>
            <w:tcBorders>
              <w:top w:val="single" w:color="CCCCCC" w:sz="1"/>
              <w:left w:val="single" w:color="CCCCCC" w:sz="1"/>
              <w:bottom w:val="single" w:color="CCCCCC" w:sz="1"/>
              <w:right w:val="single" w:color="CCCCCC" w:sz="1"/>
            </w:tcBorders>
            <w:shd w:fill="EEEDF0" w:val="clear"/>
            <w:tcMar>
              <w:top w:type="dxa" w:w="80"/>
              <w:left w:type="dxa" w:w="120"/>
              <w:bottom w:type="dxa" w:w="80"/>
              <w:right w:type="dxa" w:w="120"/>
            </w:tcMar>
          </w:tcPr>
          <w:p>
            <w:r>
              <w:rPr>
                <w:rFonts w:ascii="Arial" w:cs="Arial" w:eastAsia="Arial" w:hAnsi="Arial"/>
                <w:b/>
                <w:bCs/>
                <w:color w:val="1B2A4A"/>
                <w:sz w:val="18"/>
                <w:szCs w:val="18"/>
              </w:rPr>
              <w:t xml:space="preserve">Accent — Warm Gold</w:t>
            </w:r>
          </w:p>
        </w:tc>
        <w:tc>
          <w:tcPr>
            <w:tcW w:type="dxa" w:w="69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2C2C2C"/>
                <w:sz w:val="18"/>
                <w:szCs w:val="18"/>
              </w:rPr>
              <w:t xml:space="preserve">#C4A25B. Evolved from the 2006 brand palette — warmer and more sophisticated than the original orange. Used for CTAs, rule lines, accent borders, hover states, and highlights. Signals quality and permanence rather than disruption. This replaces Paradigm Orange as the primary accent on the website.</w:t>
            </w:r>
          </w:p>
        </w:tc>
      </w:tr>
      <w:tr>
        <w:tc>
          <w:tcPr>
            <w:tcW w:type="dxa" w:w="2400"/>
            <w:tcBorders>
              <w:top w:val="single" w:color="CCCCCC" w:sz="1"/>
              <w:left w:val="single" w:color="CCCCCC" w:sz="1"/>
              <w:bottom w:val="single" w:color="CCCCCC" w:sz="1"/>
              <w:right w:val="single" w:color="CCCCCC" w:sz="1"/>
            </w:tcBorders>
            <w:shd w:fill="EEEDF0" w:val="clear"/>
            <w:tcMar>
              <w:top w:type="dxa" w:w="80"/>
              <w:left w:type="dxa" w:w="120"/>
              <w:bottom w:type="dxa" w:w="80"/>
              <w:right w:type="dxa" w:w="120"/>
            </w:tcMar>
          </w:tcPr>
          <w:p>
            <w:r>
              <w:rPr>
                <w:rFonts w:ascii="Arial" w:cs="Arial" w:eastAsia="Arial" w:hAnsi="Arial"/>
                <w:b/>
                <w:bCs/>
                <w:color w:val="1B2A4A"/>
                <w:sz w:val="18"/>
                <w:szCs w:val="18"/>
              </w:rPr>
              <w:t xml:space="preserve">Secondary — Blue Grey</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#637890 (R:99 G:120 B:144 per 2006 brand guidelines). Used for secondary text, supporting elements, subheadings, and subtle backgrounds. Bridges the dark blue and the background colors.</w:t>
            </w:r>
          </w:p>
        </w:tc>
      </w:tr>
      <w:tr>
        <w:tc>
          <w:tcPr>
            <w:tcW w:type="dxa" w:w="2400"/>
            <w:tcBorders>
              <w:top w:val="single" w:color="CCCCCC" w:sz="1"/>
              <w:left w:val="single" w:color="CCCCCC" w:sz="1"/>
              <w:bottom w:val="single" w:color="CCCCCC" w:sz="1"/>
              <w:right w:val="single" w:color="CCCCCC" w:sz="1"/>
            </w:tcBorders>
            <w:shd w:fill="EEEDF0" w:val="clear"/>
            <w:tcMar>
              <w:top w:type="dxa" w:w="80"/>
              <w:left w:type="dxa" w:w="120"/>
              <w:bottom w:type="dxa" w:w="80"/>
              <w:right w:type="dxa" w:w="120"/>
            </w:tcMar>
          </w:tcPr>
          <w:p>
            <w:r>
              <w:rPr>
                <w:rFonts w:ascii="Arial" w:cs="Arial" w:eastAsia="Arial" w:hAnsi="Arial"/>
                <w:b/>
                <w:bCs/>
                <w:color w:val="1B2A4A"/>
                <w:sz w:val="18"/>
                <w:szCs w:val="18"/>
              </w:rPr>
              <w:t xml:space="preserve">Background — Warm Off-White</w:t>
            </w:r>
          </w:p>
        </w:tc>
        <w:tc>
          <w:tcPr>
            <w:tcW w:type="dxa" w:w="69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2C2C2C"/>
                <w:sz w:val="18"/>
                <w:szCs w:val="18"/>
              </w:rPr>
              <w:t xml:space="preserve">#F5F3EF. Primary section background. Never pure white on large areas. The warmth prevents the site from reading as cold or clinical and adds a sense of quality and depth.</w:t>
            </w:r>
          </w:p>
        </w:tc>
      </w:tr>
      <w:tr>
        <w:tc>
          <w:tcPr>
            <w:tcW w:type="dxa" w:w="2400"/>
            <w:tcBorders>
              <w:top w:val="single" w:color="CCCCCC" w:sz="1"/>
              <w:left w:val="single" w:color="CCCCCC" w:sz="1"/>
              <w:bottom w:val="single" w:color="CCCCCC" w:sz="1"/>
              <w:right w:val="single" w:color="CCCCCC" w:sz="1"/>
            </w:tcBorders>
            <w:shd w:fill="EEEDF0" w:val="clear"/>
            <w:tcMar>
              <w:top w:type="dxa" w:w="80"/>
              <w:left w:type="dxa" w:w="120"/>
              <w:bottom w:type="dxa" w:w="80"/>
              <w:right w:type="dxa" w:w="120"/>
            </w:tcMar>
          </w:tcPr>
          <w:p>
            <w:r>
              <w:rPr>
                <w:rFonts w:ascii="Arial" w:cs="Arial" w:eastAsia="Arial" w:hAnsi="Arial"/>
                <w:b/>
                <w:bCs/>
                <w:color w:val="1B2A4A"/>
                <w:sz w:val="18"/>
                <w:szCs w:val="18"/>
              </w:rPr>
              <w:t xml:space="preserve">Text — Near Black</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#2C2C2C. Body copy throughout. Never pure black — pure black on off-white creates too much harshness.</w:t>
            </w:r>
          </w:p>
        </w:tc>
      </w:tr>
      <w:tr>
        <w:tc>
          <w:tcPr>
            <w:tcW w:type="dxa" w:w="2400"/>
            <w:tcBorders>
              <w:top w:val="single" w:color="CCCCCC" w:sz="1"/>
              <w:left w:val="single" w:color="CCCCCC" w:sz="1"/>
              <w:bottom w:val="single" w:color="CCCCCC" w:sz="1"/>
              <w:right w:val="single" w:color="CCCCCC" w:sz="1"/>
            </w:tcBorders>
            <w:shd w:fill="EEEDF0" w:val="clear"/>
            <w:tcMar>
              <w:top w:type="dxa" w:w="80"/>
              <w:left w:type="dxa" w:w="120"/>
              <w:bottom w:type="dxa" w:w="80"/>
              <w:right w:type="dxa" w:w="120"/>
            </w:tcMar>
          </w:tcPr>
          <w:p>
            <w:r>
              <w:rPr>
                <w:rFonts w:ascii="Arial" w:cs="Arial" w:eastAsia="Arial" w:hAnsi="Arial"/>
                <w:b/>
                <w:bCs/>
                <w:color w:val="1B2A4A"/>
                <w:sz w:val="18"/>
                <w:szCs w:val="18"/>
              </w:rPr>
              <w:t xml:space="preserve">Paradigm Orange — Demoted</w:t>
            </w:r>
          </w:p>
        </w:tc>
        <w:tc>
          <w:tcPr>
            <w:tcW w:type="dxa" w:w="69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2C2C2C"/>
                <w:sz w:val="18"/>
                <w:szCs w:val="18"/>
              </w:rPr>
              <w:t xml:space="preserve">#FE5F10 (R:254 G:95 B:16 per 2006 brand guidelines). The existing Paradigm orange is retained in the logo and in print materials. On the website it is demoted to minor accent only — hover micro-states or the occasional decorative element. It does not appear as a CTA color, background, or structural element. Reason: orange as a financial services accent reads as early-web-era. The warm gold communicates the same distinctiveness with more institutional credibility.</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A7B3A" w:sz="10"/>
              <w:left w:val="single" w:color="1B2A4A" w:sz="24"/>
              <w:bottom w:val="none" w:color="FFFFFF" w:sz="0"/>
              <w:right w:val="none" w:color="FFFFFF" w:sz="0"/>
            </w:tcBorders>
            <w:shd w:fill="EEEDF0" w:val="clear"/>
            <w:tcMar>
              <w:top w:type="dxa" w:w="120"/>
              <w:left w:type="dxa" w:w="200"/>
              <w:bottom w:type="dxa" w:w="140"/>
              <w:right w:type="dxa" w:w="200"/>
            </w:tcMar>
          </w:tcPr>
          <w:p>
            <w:pPr>
              <w:spacing w:after="80" w:before="0"/>
            </w:pPr>
            <w:r>
              <w:rPr>
                <w:rFonts w:ascii="Arial" w:cs="Arial" w:eastAsia="Arial" w:hAnsi="Arial"/>
                <w:b/>
                <w:bCs/>
                <w:color w:val="1B2A4A"/>
                <w:sz w:val="15"/>
                <w:szCs w:val="15"/>
              </w:rPr>
              <w:t xml:space="preserve">LOGO USAGE ON THE WEBSITE</w:t>
            </w:r>
          </w:p>
          <w:p>
            <w:pPr>
              <w:spacing w:after="40" w:before="0"/>
            </w:pPr>
            <w:r>
              <w:rPr>
                <w:rFonts w:ascii="Arial" w:cs="Arial" w:eastAsia="Arial" w:hAnsi="Arial"/>
                <w:color w:val="2C2C2C"/>
                <w:sz w:val="19"/>
                <w:szCs w:val="19"/>
              </w:rPr>
              <w:t xml:space="preserve">Use the existing Paradigm logo as-is. Do not redesign or modify it for this project.</w:t>
            </w:r>
          </w:p>
          <w:p>
            <w:pPr>
              <w:spacing w:after="40" w:before="0"/>
            </w:pPr>
            <w:r>
              <w:rPr>
                <w:rFonts w:ascii="Arial" w:cs="Arial" w:eastAsia="Arial" w:hAnsi="Arial"/>
                <w:color w:val="2C2C2C"/>
                <w:sz w:val="19"/>
                <w:szCs w:val="19"/>
              </w:rPr>
              <w:t xml:space="preserve">Primary logo (PA3_Cnotag — dark blue with blue grey and orange) on white or off-white backgrounds.</w:t>
            </w:r>
          </w:p>
          <w:p>
            <w:pPr>
              <w:spacing w:after="40" w:before="0"/>
            </w:pPr>
            <w:r>
              <w:rPr>
                <w:rFonts w:ascii="Arial" w:cs="Arial" w:eastAsia="Arial" w:hAnsi="Arial"/>
                <w:color w:val="2C2C2C"/>
                <w:sz w:val="19"/>
                <w:szCs w:val="19"/>
              </w:rPr>
              <w:t xml:space="preserve">Reversed logo (PA3_CREVnotag — white on dark) on the Paradigm Dark Blue hero and nav backgrounds.</w:t>
            </w:r>
          </w:p>
          <w:p>
            <w:pPr>
              <w:spacing w:after="40" w:before="0"/>
            </w:pPr>
            <w:r>
              <w:rPr>
                <w:rFonts w:ascii="Arial" w:cs="Arial" w:eastAsia="Arial" w:hAnsi="Arial"/>
                <w:color w:val="2C2C2C"/>
                <w:sz w:val="19"/>
                <w:szCs w:val="19"/>
              </w:rPr>
              <w:t xml:space="preserve">Maintain the clearance zone specified in the 2006 guidelines: clear space equal to the width of the square symbol on all sides.</w:t>
            </w:r>
          </w:p>
          <w:p>
            <w:pPr>
              <w:spacing w:after="40" w:before="0"/>
            </w:pPr>
            <w:r>
              <w:rPr>
                <w:rFonts w:ascii="Arial" w:cs="Arial" w:eastAsia="Arial" w:hAnsi="Arial"/>
                <w:color w:val="2C2C2C"/>
                <w:sz w:val="19"/>
                <w:szCs w:val="19"/>
              </w:rPr>
              <w:t xml:space="preserve">Minimum size 1’’ wide in print. On web, minimum display width 120px.</w:t>
            </w:r>
          </w:p>
          <w:p>
            <w:pPr>
              <w:spacing w:after="40" w:before="0"/>
            </w:pPr>
            <w:r>
              <w:rPr>
                <w:rFonts w:ascii="Arial" w:cs="Arial" w:eastAsia="Arial" w:hAnsi="Arial"/>
                <w:color w:val="2C2C2C"/>
                <w:sz w:val="19"/>
                <w:szCs w:val="19"/>
              </w:rPr>
              <w:t xml:space="preserve">Never place the logo on an orange background. Never deconstruct the logo unit.</w:t>
            </w:r>
          </w:p>
        </w:tc>
      </w:tr>
    </w:tbl>
    <w:p>
      <w:pPr>
        <w:spacing w:after="0" w:before="160"/>
      </w:pPr>
      <w:r>
        <w:t xml:space="preserve"/>
      </w:r>
    </w:p>
    <w:p>
      <w:pPr>
        <w:pStyle w:val="Heading2"/>
        <w:spacing w:after="100" w:before="320"/>
      </w:pPr>
      <w:r>
        <w:rPr>
          <w:rFonts w:ascii="Arial" w:cs="Arial" w:eastAsia="Arial" w:hAnsi="Arial"/>
          <w:b/>
          <w:bCs/>
          <w:color w:val="1B2A4A"/>
          <w:sz w:val="28"/>
          <w:szCs w:val="28"/>
        </w:rPr>
        <w:t xml:space="preserve">Typography</w:t>
      </w:r>
    </w:p>
    <w:p>
      <w:pPr>
        <w:spacing w:after="120" w:before="0"/>
      </w:pPr>
      <w:r>
        <w:rPr>
          <w:rFonts w:ascii="Arial" w:cs="Arial" w:eastAsia="Arial" w:hAnsi="Arial"/>
          <w:b w:val="false"/>
          <w:bCs w:val="false"/>
          <w:color w:val="2C2C2C"/>
          <w:sz w:val="20"/>
          <w:szCs w:val="20"/>
        </w:rPr>
        <w:t xml:space="preserve">The 2006 brand specifies Helvetica Neue as the primary marketing typeface. For web deployment, Helvetica Neue requires either a commercial web font license or a close substitute. The recommended approach is a modern pairing that honors the spirit of the original system while reading as current.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EEEDF0" w:val="clear"/>
            <w:tcMar>
              <w:top w:type="dxa" w:w="80"/>
              <w:left w:type="dxa" w:w="120"/>
              <w:bottom w:type="dxa" w:w="80"/>
              <w:right w:type="dxa" w:w="120"/>
            </w:tcMar>
          </w:tcPr>
          <w:p>
            <w:r>
              <w:rPr>
                <w:rFonts w:ascii="Arial" w:cs="Arial" w:eastAsia="Arial" w:hAnsi="Arial"/>
                <w:b/>
                <w:bCs/>
                <w:color w:val="1B2A4A"/>
                <w:sz w:val="18"/>
                <w:szCs w:val="18"/>
              </w:rPr>
              <w:t xml:space="preserve">Display / Headlines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Freight Display, Canela, or Georgia (web-safe fallback). A serif for hero headlines and major section headers. Signals 35 years of serious institutional practice. Large, confident, unhurried. The institutional voice. If the client prefers to stay within the brand system, Helvetica Neue Medium Extended may be licensed for web use through Adobe Fonts.</w:t>
            </w:r>
          </w:p>
        </w:tc>
      </w:tr>
      <w:tr>
        <w:tc>
          <w:tcPr>
            <w:tcW w:type="dxa" w:w="2400"/>
            <w:tcBorders>
              <w:top w:val="single" w:color="CCCCCC" w:sz="1"/>
              <w:left w:val="single" w:color="CCCCCC" w:sz="1"/>
              <w:bottom w:val="single" w:color="CCCCCC" w:sz="1"/>
              <w:right w:val="single" w:color="CCCCCC" w:sz="1"/>
            </w:tcBorders>
            <w:shd w:fill="EEEDF0" w:val="clear"/>
            <w:tcMar>
              <w:top w:type="dxa" w:w="80"/>
              <w:left w:type="dxa" w:w="120"/>
              <w:bottom w:type="dxa" w:w="80"/>
              <w:right w:type="dxa" w:w="120"/>
            </w:tcMar>
          </w:tcPr>
          <w:p>
            <w:r>
              <w:rPr>
                <w:rFonts w:ascii="Arial" w:cs="Arial" w:eastAsia="Arial" w:hAnsi="Arial"/>
                <w:b/>
                <w:bCs/>
                <w:color w:val="1B2A4A"/>
                <w:sz w:val="18"/>
                <w:szCs w:val="18"/>
              </w:rPr>
              <w:t xml:space="preserve">Body copy</w:t>
            </w:r>
          </w:p>
        </w:tc>
        <w:tc>
          <w:tcPr>
            <w:tcW w:type="dxa" w:w="69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2C2C2C"/>
                <w:sz w:val="18"/>
                <w:szCs w:val="18"/>
              </w:rPr>
              <w:t xml:space="preserve">Inter (Google Fonts, free) or DM Sans. Clean, readable, professional. The closest freely available equivalent to Helvetica Neue for body text. 16px minimum. 1.6 line height minimum.</w:t>
            </w:r>
          </w:p>
        </w:tc>
      </w:tr>
      <w:tr>
        <w:tc>
          <w:tcPr>
            <w:tcW w:type="dxa" w:w="2400"/>
            <w:tcBorders>
              <w:top w:val="single" w:color="CCCCCC" w:sz="1"/>
              <w:left w:val="single" w:color="CCCCCC" w:sz="1"/>
              <w:bottom w:val="single" w:color="CCCCCC" w:sz="1"/>
              <w:right w:val="single" w:color="CCCCCC" w:sz="1"/>
            </w:tcBorders>
            <w:shd w:fill="EEEDF0" w:val="clear"/>
            <w:tcMar>
              <w:top w:type="dxa" w:w="80"/>
              <w:left w:type="dxa" w:w="120"/>
              <w:bottom w:type="dxa" w:w="80"/>
              <w:right w:type="dxa" w:w="120"/>
            </w:tcMar>
          </w:tcPr>
          <w:p>
            <w:r>
              <w:rPr>
                <w:rFonts w:ascii="Arial" w:cs="Arial" w:eastAsia="Arial" w:hAnsi="Arial"/>
                <w:b/>
                <w:bCs/>
                <w:color w:val="1B2A4A"/>
                <w:sz w:val="18"/>
                <w:szCs w:val="18"/>
              </w:rPr>
              <w:t xml:space="preserve">Section labels / Eyebrows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Inter or Barlow Condensed, tracked uppercase, 11–12px. Used for section labels, category markers, and eyebrow text above headlines. The systematic process voice. This echoes the Helvetica Neue Condensed usage in the 2006 brand.</w:t>
            </w:r>
          </w:p>
        </w:tc>
      </w:tr>
      <w:tr>
        <w:tc>
          <w:tcPr>
            <w:tcW w:type="dxa" w:w="2400"/>
            <w:tcBorders>
              <w:top w:val="single" w:color="CCCCCC" w:sz="1"/>
              <w:left w:val="single" w:color="CCCCCC" w:sz="1"/>
              <w:bottom w:val="single" w:color="CCCCCC" w:sz="1"/>
              <w:right w:val="single" w:color="CCCCCC" w:sz="1"/>
            </w:tcBorders>
            <w:shd w:fill="EEEDF0" w:val="clear"/>
            <w:tcMar>
              <w:top w:type="dxa" w:w="80"/>
              <w:left w:type="dxa" w:w="120"/>
              <w:bottom w:type="dxa" w:w="80"/>
              <w:right w:type="dxa" w:w="120"/>
            </w:tcMar>
          </w:tcPr>
          <w:p>
            <w:r>
              <w:rPr>
                <w:rFonts w:ascii="Arial" w:cs="Arial" w:eastAsia="Arial" w:hAnsi="Arial"/>
                <w:b/>
                <w:bCs/>
                <w:color w:val="1B2A4A"/>
                <w:sz w:val="18"/>
                <w:szCs w:val="18"/>
              </w:rPr>
              <w:t xml:space="preserve">Hierarchy</w:t>
            </w:r>
          </w:p>
        </w:tc>
        <w:tc>
          <w:tcPr>
            <w:tcW w:type="dxa" w:w="69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2C2C2C"/>
                <w:sz w:val="18"/>
                <w:szCs w:val="18"/>
              </w:rPr>
              <w:t xml:space="preserve">Three levels only on marketing pages. Display (hero headlines, 48–72px), H2 (section headers, 28–36px), body (16–18px). Avoid H3 on marketing pages — it fragments the reading experience.</w:t>
            </w:r>
          </w:p>
        </w:tc>
      </w:tr>
      <w:tr>
        <w:tc>
          <w:tcPr>
            <w:tcW w:type="dxa" w:w="2400"/>
            <w:tcBorders>
              <w:top w:val="single" w:color="CCCCCC" w:sz="1"/>
              <w:left w:val="single" w:color="CCCCCC" w:sz="1"/>
              <w:bottom w:val="single" w:color="CCCCCC" w:sz="1"/>
              <w:right w:val="single" w:color="CCCCCC" w:sz="1"/>
            </w:tcBorders>
            <w:shd w:fill="EEEDF0" w:val="clear"/>
            <w:tcMar>
              <w:top w:type="dxa" w:w="80"/>
              <w:left w:type="dxa" w:w="120"/>
              <w:bottom w:type="dxa" w:w="80"/>
              <w:right w:type="dxa" w:w="120"/>
            </w:tcMar>
          </w:tcPr>
          <w:p>
            <w:r>
              <w:rPr>
                <w:rFonts w:ascii="Arial" w:cs="Arial" w:eastAsia="Arial" w:hAnsi="Arial"/>
                <w:b/>
                <w:bCs/>
                <w:color w:val="1B2A4A"/>
                <w:sz w:val="18"/>
                <w:szCs w:val="18"/>
              </w:rPr>
              <w:t xml:space="preserve">Internal documents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Per the 2006 brand guidelines, Arial Narrow for all internal documents and PowerPoint presentations. This is already applied across all Paradigm documents.</w:t>
            </w:r>
          </w:p>
        </w:tc>
      </w:tr>
    </w:tbl>
    <w:p>
      <w:pPr>
        <w:spacing w:after="0" w:before="160"/>
      </w:pPr>
      <w:r>
        <w:t xml:space="preserve"/>
      </w:r>
    </w:p>
    <w:p>
      <w:pPr>
        <w:pStyle w:val="Heading2"/>
        <w:spacing w:after="100" w:before="320"/>
      </w:pPr>
      <w:r>
        <w:rPr>
          <w:rFonts w:ascii="Arial" w:cs="Arial" w:eastAsia="Arial" w:hAnsi="Arial"/>
          <w:b/>
          <w:bCs/>
          <w:color w:val="1B2A4A"/>
          <w:sz w:val="28"/>
          <w:szCs w:val="28"/>
        </w:rPr>
        <w:t xml:space="preserve">Imagery and Visual Elements</w:t>
      </w:r>
    </w:p>
    <w:p>
      <w:pPr>
        <w:pStyle w:val="ListParagraph"/>
        <w:numPr>
          <w:ilvl w:val="0"/>
          <w:numId w:val="2"/>
        </w:numPr>
        <w:spacing w:after="60" w:before="40"/>
      </w:pPr>
      <w:r>
        <w:rPr>
          <w:rFonts w:ascii="Arial" w:cs="Arial" w:eastAsia="Arial" w:hAnsi="Arial"/>
          <w:color w:val="2C2C2C"/>
          <w:sz w:val="20"/>
          <w:szCs w:val="20"/>
        </w:rPr>
        <w:t xml:space="preserve">No stock photography of markets, trading floors, handshakes, or generic business people. The 2006 site used city views and digital world imagery that read as dated. Replace with typographic sections, geometric elements, and purposeful color blocks.</w:t>
      </w:r>
    </w:p>
    <w:p>
      <w:pPr>
        <w:pStyle w:val="ListParagraph"/>
        <w:numPr>
          <w:ilvl w:val="0"/>
          <w:numId w:val="2"/>
        </w:numPr>
        <w:spacing w:after="60" w:before="40"/>
      </w:pPr>
      <w:r>
        <w:rPr>
          <w:rFonts w:ascii="Arial" w:cs="Arial" w:eastAsia="Arial" w:hAnsi="Arial"/>
          <w:color w:val="2C2C2C"/>
          <w:sz w:val="20"/>
          <w:szCs w:val="20"/>
        </w:rPr>
        <w:t xml:space="preserve">Typography and color carry the visual weight. The dark blue, warm gold accents, and off-white backgrounds create a visual system that does not need photography to feel premium.</w:t>
      </w:r>
    </w:p>
    <w:p>
      <w:pPr>
        <w:pStyle w:val="ListParagraph"/>
        <w:numPr>
          <w:ilvl w:val="0"/>
          <w:numId w:val="2"/>
        </w:numPr>
        <w:spacing w:after="60" w:before="40"/>
      </w:pPr>
      <w:r>
        <w:rPr>
          <w:rFonts w:ascii="Arial" w:cs="Arial" w:eastAsia="Arial" w:hAnsi="Arial"/>
          <w:color w:val="2C2C2C"/>
          <w:sz w:val="20"/>
          <w:szCs w:val="20"/>
        </w:rPr>
        <w:t xml:space="preserve">The sub-style migration diagram is the one bespoke visual element worth building. A simple SVG or Canvas animation showing a style box — Large Value for example — with the sub-style spectrum within it (deep value, relative value, core value, growthier value) and a line showing how portfolio positioning migrates across those sub-styles over time. Clean, conceptual, not a data dashboard. This is the one place where a visual does work that words cannot.</w:t>
      </w:r>
    </w:p>
    <w:p>
      <w:pPr>
        <w:pStyle w:val="ListParagraph"/>
        <w:numPr>
          <w:ilvl w:val="0"/>
          <w:numId w:val="2"/>
        </w:numPr>
        <w:spacing w:after="60" w:before="40"/>
      </w:pPr>
      <w:r>
        <w:rPr>
          <w:rFonts w:ascii="Arial" w:cs="Arial" w:eastAsia="Arial" w:hAnsi="Arial"/>
          <w:color w:val="2C2C2C"/>
          <w:sz w:val="20"/>
          <w:szCs w:val="20"/>
        </w:rPr>
        <w:t xml:space="preserve">Team photos: the existing photos on the Wix site are dated. New professional headshots should be taken as part of launch preparation. Consistent background, consistent framing across all team members.</w:t>
      </w:r>
    </w:p>
    <w:p>
      <w:pPr>
        <w:pStyle w:val="ListParagraph"/>
        <w:numPr>
          <w:ilvl w:val="0"/>
          <w:numId w:val="2"/>
        </w:numPr>
        <w:spacing w:after="60" w:before="40"/>
      </w:pPr>
      <w:r>
        <w:rPr>
          <w:rFonts w:ascii="Arial" w:cs="Arial" w:eastAsia="Arial" w:hAnsi="Arial"/>
          <w:color w:val="2C2C2C"/>
          <w:sz w:val="20"/>
          <w:szCs w:val="20"/>
        </w:rPr>
        <w:t xml:space="preserve">The logo appears in the nav (reversed, white on dark blue), in the footer (primary version, dark on off-white), and nowhere else on the site.</w:t>
      </w:r>
    </w:p>
    <w:p>
      <w:pPr>
        <w:spacing w:after="0" w:before="160"/>
      </w:pPr>
      <w:r>
        <w:t xml:space="preserve"/>
      </w:r>
    </w:p>
    <w:p>
      <w:pPr>
        <w:pStyle w:val="Heading2"/>
        <w:spacing w:after="100" w:before="320"/>
      </w:pPr>
      <w:r>
        <w:rPr>
          <w:rFonts w:ascii="Arial" w:cs="Arial" w:eastAsia="Arial" w:hAnsi="Arial"/>
          <w:b/>
          <w:bCs/>
          <w:color w:val="1B2A4A"/>
          <w:sz w:val="28"/>
          <w:szCs w:val="28"/>
        </w:rPr>
        <w:t xml:space="preserve">Motion and Interaction</w:t>
      </w:r>
    </w:p>
    <w:p>
      <w:pPr>
        <w:pStyle w:val="ListParagraph"/>
        <w:numPr>
          <w:ilvl w:val="0"/>
          <w:numId w:val="2"/>
        </w:numPr>
        <w:spacing w:after="60" w:before="40"/>
      </w:pPr>
      <w:r>
        <w:rPr>
          <w:rFonts w:ascii="Arial" w:cs="Arial" w:eastAsia="Arial" w:hAnsi="Arial"/>
          <w:color w:val="2C2C2C"/>
          <w:sz w:val="20"/>
          <w:szCs w:val="20"/>
        </w:rPr>
        <w:t xml:space="preserve">Smooth scroll between sections. No page reloads for in-page navigation within the SPA.</w:t>
      </w:r>
    </w:p>
    <w:p>
      <w:pPr>
        <w:pStyle w:val="ListParagraph"/>
        <w:numPr>
          <w:ilvl w:val="0"/>
          <w:numId w:val="2"/>
        </w:numPr>
        <w:spacing w:after="60" w:before="40"/>
      </w:pPr>
      <w:r>
        <w:rPr>
          <w:rFonts w:ascii="Arial" w:cs="Arial" w:eastAsia="Arial" w:hAnsi="Arial"/>
          <w:color w:val="2C2C2C"/>
          <w:sz w:val="20"/>
          <w:szCs w:val="20"/>
        </w:rPr>
        <w:t xml:space="preserve">Subtle entrance animations on scroll — fade up, 300ms, not dramatic. The content is the hero, not the animation.</w:t>
      </w:r>
    </w:p>
    <w:p>
      <w:pPr>
        <w:pStyle w:val="ListParagraph"/>
        <w:numPr>
          <w:ilvl w:val="0"/>
          <w:numId w:val="2"/>
        </w:numPr>
        <w:spacing w:after="60" w:before="40"/>
      </w:pPr>
      <w:r>
        <w:rPr>
          <w:rFonts w:ascii="Arial" w:cs="Arial" w:eastAsia="Arial" w:hAnsi="Arial"/>
          <w:color w:val="2C2C2C"/>
          <w:sz w:val="20"/>
          <w:szCs w:val="20"/>
        </w:rPr>
        <w:t xml:space="preserve">The sub-style migration diagram is the one place where purposeful, longer-duration motion is used. Everything else is restrained and fast.</w:t>
      </w:r>
    </w:p>
    <w:p>
      <w:pPr>
        <w:pStyle w:val="ListParagraph"/>
        <w:numPr>
          <w:ilvl w:val="0"/>
          <w:numId w:val="2"/>
        </w:numPr>
        <w:spacing w:after="60" w:before="40"/>
      </w:pPr>
      <w:r>
        <w:rPr>
          <w:rFonts w:ascii="Arial" w:cs="Arial" w:eastAsia="Arial" w:hAnsi="Arial"/>
          <w:color w:val="2C2C2C"/>
          <w:sz w:val="20"/>
          <w:szCs w:val="20"/>
        </w:rPr>
        <w:t xml:space="preserve">CTA buttons: Paradigm Dark Blue fill with warm gold text at rest. Warm gold fill with dark blue text on hover. The color swap on hover signals responsiveness without gimmickry.</w:t>
      </w:r>
    </w:p>
    <w:p>
      <w:pPr>
        <w:pStyle w:val="ListParagraph"/>
        <w:numPr>
          <w:ilvl w:val="0"/>
          <w:numId w:val="2"/>
        </w:numPr>
        <w:spacing w:after="60" w:before="40"/>
      </w:pPr>
      <w:r>
        <w:rPr>
          <w:rFonts w:ascii="Arial" w:cs="Arial" w:eastAsia="Arial" w:hAnsi="Arial"/>
          <w:color w:val="2C2C2C"/>
          <w:sz w:val="20"/>
          <w:szCs w:val="20"/>
        </w:rPr>
        <w:t xml:space="preserve">Mobile first. The site must be fully functional and read correctly at 375px width. Most initial visitors from Sopro will arrive on mobile.</w:t>
      </w:r>
    </w:p>
    <w:p>
      <w:pPr>
        <w:pStyle w:val="ListParagraph"/>
        <w:numPr>
          <w:ilvl w:val="0"/>
          <w:numId w:val="2"/>
        </w:numPr>
        <w:spacing w:after="60" w:before="40"/>
      </w:pPr>
      <w:r>
        <w:rPr>
          <w:rFonts w:ascii="Arial" w:cs="Arial" w:eastAsia="Arial" w:hAnsi="Arial"/>
          <w:color w:val="2C2C2C"/>
          <w:sz w:val="20"/>
          <w:szCs w:val="20"/>
        </w:rPr>
        <w:t xml:space="preserve">Load time: under 2 seconds on a standard mobile connection. Credibility is destroyed by slow sites. Optimize all assets before launch.</w:t>
      </w:r>
    </w:p>
    <w:p>
      <w:pPr>
        <w:spacing w:after="0" w:before="20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2A4A" w:val="clear"/>
            <w:tcMar>
              <w:top w:type="dxa" w:w="180"/>
              <w:left w:type="dxa" w:w="320"/>
              <w:bottom w:type="dxa" w:w="180"/>
              <w:right w:type="dxa" w:w="320"/>
            </w:tcMar>
          </w:tcPr>
          <w:p>
            <w:pPr>
              <w:spacing w:after="70" w:before="0"/>
            </w:pPr>
            <w:r>
              <w:rPr>
                <w:rFonts w:ascii="Arial" w:cs="Arial" w:eastAsia="Arial" w:hAnsi="Arial"/>
                <w:b/>
                <w:bCs/>
                <w:color w:val="C4A25B"/>
                <w:spacing w:val="80"/>
                <w:sz w:val="16"/>
                <w:szCs w:val="16"/>
              </w:rPr>
              <w:t xml:space="preserve">SECTION 06</w:t>
            </w:r>
          </w:p>
          <w:p>
            <w:pPr>
              <w:spacing w:after="70" w:before="0"/>
            </w:pPr>
            <w:r>
              <w:rPr>
                <w:rFonts w:ascii="Arial" w:cs="Arial" w:eastAsia="Arial" w:hAnsi="Arial"/>
                <w:b/>
                <w:bCs/>
                <w:color w:val="FFFFFF"/>
                <w:sz w:val="30"/>
                <w:szCs w:val="30"/>
              </w:rPr>
              <w:t xml:space="preserve">Technical Brief</w:t>
            </w:r>
          </w:p>
          <w:p>
            <w:pPr>
              <w:spacing w:after="0" w:before="0"/>
            </w:pPr>
            <w:r>
              <w:rPr>
                <w:rFonts w:ascii="Arial" w:cs="Arial" w:eastAsia="Arial" w:hAnsi="Arial"/>
                <w:color w:val="BBBBBB"/>
                <w:sz w:val="18"/>
                <w:szCs w:val="18"/>
              </w:rPr>
              <w:t xml:space="preserve">Instructions for the React developer</w:t>
            </w:r>
          </w:p>
        </w:tc>
      </w:tr>
    </w:tbl>
    <w:p>
      <w:pPr>
        <w:spacing w:after="0" w:before="220"/>
      </w:pPr>
      <w:r>
        <w:t xml:space="preserve"/>
      </w:r>
    </w:p>
    <w:p>
      <w:pPr>
        <w:pStyle w:val="Heading2"/>
        <w:spacing w:after="100" w:before="320"/>
      </w:pPr>
      <w:r>
        <w:rPr>
          <w:rFonts w:ascii="Arial" w:cs="Arial" w:eastAsia="Arial" w:hAnsi="Arial"/>
          <w:b/>
          <w:bCs/>
          <w:color w:val="1B2A4A"/>
          <w:sz w:val="28"/>
          <w:szCs w:val="28"/>
        </w:rPr>
        <w:t xml:space="preserve">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EEEDF0" w:val="clear"/>
            <w:tcMar>
              <w:top w:type="dxa" w:w="80"/>
              <w:left w:type="dxa" w:w="120"/>
              <w:bottom w:type="dxa" w:w="80"/>
              <w:right w:type="dxa" w:w="120"/>
            </w:tcMar>
          </w:tcPr>
          <w:p>
            <w:r>
              <w:rPr>
                <w:rFonts w:ascii="Arial" w:cs="Arial" w:eastAsia="Arial" w:hAnsi="Arial"/>
                <w:b/>
                <w:bCs/>
                <w:color w:val="1B2A4A"/>
                <w:sz w:val="18"/>
                <w:szCs w:val="18"/>
              </w:rPr>
              <w:t xml:space="preserve">Framework</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React. Single page application with client-side routing (React Router v6 or later).</w:t>
            </w:r>
          </w:p>
        </w:tc>
      </w:tr>
      <w:tr>
        <w:tc>
          <w:tcPr>
            <w:tcW w:type="dxa" w:w="2400"/>
            <w:tcBorders>
              <w:top w:val="single" w:color="CCCCCC" w:sz="1"/>
              <w:left w:val="single" w:color="CCCCCC" w:sz="1"/>
              <w:bottom w:val="single" w:color="CCCCCC" w:sz="1"/>
              <w:right w:val="single" w:color="CCCCCC" w:sz="1"/>
            </w:tcBorders>
            <w:shd w:fill="EEEDF0" w:val="clear"/>
            <w:tcMar>
              <w:top w:type="dxa" w:w="80"/>
              <w:left w:type="dxa" w:w="120"/>
              <w:bottom w:type="dxa" w:w="80"/>
              <w:right w:type="dxa" w:w="120"/>
            </w:tcMar>
          </w:tcPr>
          <w:p>
            <w:r>
              <w:rPr>
                <w:rFonts w:ascii="Arial" w:cs="Arial" w:eastAsia="Arial" w:hAnsi="Arial"/>
                <w:b/>
                <w:bCs/>
                <w:color w:val="1B2A4A"/>
                <w:sz w:val="18"/>
                <w:szCs w:val="18"/>
              </w:rPr>
              <w:t xml:space="preserve">Styling</w:t>
            </w:r>
          </w:p>
        </w:tc>
        <w:tc>
          <w:tcPr>
            <w:tcW w:type="dxa" w:w="69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2C2C2C"/>
                <w:sz w:val="18"/>
                <w:szCs w:val="18"/>
              </w:rPr>
              <w:t xml:space="preserve">Tailwind CSS for utility classes. Custom CSS variables for the brand palette. No inline styles on components.</w:t>
            </w:r>
          </w:p>
        </w:tc>
      </w:tr>
      <w:tr>
        <w:tc>
          <w:tcPr>
            <w:tcW w:type="dxa" w:w="2400"/>
            <w:tcBorders>
              <w:top w:val="single" w:color="CCCCCC" w:sz="1"/>
              <w:left w:val="single" w:color="CCCCCC" w:sz="1"/>
              <w:bottom w:val="single" w:color="CCCCCC" w:sz="1"/>
              <w:right w:val="single" w:color="CCCCCC" w:sz="1"/>
            </w:tcBorders>
            <w:shd w:fill="EEEDF0" w:val="clear"/>
            <w:tcMar>
              <w:top w:type="dxa" w:w="80"/>
              <w:left w:type="dxa" w:w="120"/>
              <w:bottom w:type="dxa" w:w="80"/>
              <w:right w:type="dxa" w:w="120"/>
            </w:tcMar>
          </w:tcPr>
          <w:p>
            <w:r>
              <w:rPr>
                <w:rFonts w:ascii="Arial" w:cs="Arial" w:eastAsia="Arial" w:hAnsi="Arial"/>
                <w:b/>
                <w:bCs/>
                <w:color w:val="1B2A4A"/>
                <w:sz w:val="18"/>
                <w:szCs w:val="18"/>
              </w:rPr>
              <w:t xml:space="preserve">Animation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Framer Motion for scroll-triggered entrance animations and the sub-style diagram. Keep it lightweight.</w:t>
            </w:r>
          </w:p>
        </w:tc>
      </w:tr>
      <w:tr>
        <w:tc>
          <w:tcPr>
            <w:tcW w:type="dxa" w:w="2400"/>
            <w:tcBorders>
              <w:top w:val="single" w:color="CCCCCC" w:sz="1"/>
              <w:left w:val="single" w:color="CCCCCC" w:sz="1"/>
              <w:bottom w:val="single" w:color="CCCCCC" w:sz="1"/>
              <w:right w:val="single" w:color="CCCCCC" w:sz="1"/>
            </w:tcBorders>
            <w:shd w:fill="EEEDF0" w:val="clear"/>
            <w:tcMar>
              <w:top w:type="dxa" w:w="80"/>
              <w:left w:type="dxa" w:w="120"/>
              <w:bottom w:type="dxa" w:w="80"/>
              <w:right w:type="dxa" w:w="120"/>
            </w:tcMar>
          </w:tcPr>
          <w:p>
            <w:r>
              <w:rPr>
                <w:rFonts w:ascii="Arial" w:cs="Arial" w:eastAsia="Arial" w:hAnsi="Arial"/>
                <w:b/>
                <w:bCs/>
                <w:color w:val="1B2A4A"/>
                <w:sz w:val="18"/>
                <w:szCs w:val="18"/>
              </w:rPr>
              <w:t xml:space="preserve">Forms</w:t>
            </w:r>
          </w:p>
        </w:tc>
        <w:tc>
          <w:tcPr>
            <w:tcW w:type="dxa" w:w="69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2C2C2C"/>
                <w:sz w:val="18"/>
                <w:szCs w:val="18"/>
              </w:rPr>
              <w:t xml:space="preserve">Contact forms post to a backend endpoint or third-party form service (Formspree, EmailJS, or equivalent). No PHP. No WordPress.</w:t>
            </w:r>
          </w:p>
        </w:tc>
      </w:tr>
      <w:tr>
        <w:tc>
          <w:tcPr>
            <w:tcW w:type="dxa" w:w="2400"/>
            <w:tcBorders>
              <w:top w:val="single" w:color="CCCCCC" w:sz="1"/>
              <w:left w:val="single" w:color="CCCCCC" w:sz="1"/>
              <w:bottom w:val="single" w:color="CCCCCC" w:sz="1"/>
              <w:right w:val="single" w:color="CCCCCC" w:sz="1"/>
            </w:tcBorders>
            <w:shd w:fill="EEEDF0" w:val="clear"/>
            <w:tcMar>
              <w:top w:type="dxa" w:w="80"/>
              <w:left w:type="dxa" w:w="120"/>
              <w:bottom w:type="dxa" w:w="80"/>
              <w:right w:type="dxa" w:w="120"/>
            </w:tcMar>
          </w:tcPr>
          <w:p>
            <w:r>
              <w:rPr>
                <w:rFonts w:ascii="Arial" w:cs="Arial" w:eastAsia="Arial" w:hAnsi="Arial"/>
                <w:b/>
                <w:bCs/>
                <w:color w:val="1B2A4A"/>
                <w:sz w:val="18"/>
                <w:szCs w:val="18"/>
              </w:rPr>
              <w:t xml:space="preserve">Hosting</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Developer's choice during build. Migrates to paradigmasset.com on launch. Vercel or Netlify recommended for the React deployment.</w:t>
            </w:r>
          </w:p>
        </w:tc>
      </w:tr>
      <w:tr>
        <w:tc>
          <w:tcPr>
            <w:tcW w:type="dxa" w:w="2400"/>
            <w:tcBorders>
              <w:top w:val="single" w:color="CCCCCC" w:sz="1"/>
              <w:left w:val="single" w:color="CCCCCC" w:sz="1"/>
              <w:bottom w:val="single" w:color="CCCCCC" w:sz="1"/>
              <w:right w:val="single" w:color="CCCCCC" w:sz="1"/>
            </w:tcBorders>
            <w:shd w:fill="EEEDF0" w:val="clear"/>
            <w:tcMar>
              <w:top w:type="dxa" w:w="80"/>
              <w:left w:type="dxa" w:w="120"/>
              <w:bottom w:type="dxa" w:w="80"/>
              <w:right w:type="dxa" w:w="120"/>
            </w:tcMar>
          </w:tcPr>
          <w:p>
            <w:r>
              <w:rPr>
                <w:rFonts w:ascii="Arial" w:cs="Arial" w:eastAsia="Arial" w:hAnsi="Arial"/>
                <w:b/>
                <w:bCs/>
                <w:color w:val="1B2A4A"/>
                <w:sz w:val="18"/>
                <w:szCs w:val="18"/>
              </w:rPr>
              <w:t xml:space="preserve">Domain migration</w:t>
            </w:r>
          </w:p>
        </w:tc>
        <w:tc>
          <w:tcPr>
            <w:tcW w:type="dxa" w:w="69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2C2C2C"/>
                <w:sz w:val="18"/>
                <w:szCs w:val="18"/>
              </w:rPr>
              <w:t xml:space="preserve">On launch: paradigmasset.com points to the new React site. paasinvest.com sets up a 301 redirect to paradigmasset.com/advisors.</w:t>
            </w:r>
          </w:p>
        </w:tc>
      </w:tr>
      <w:tr>
        <w:tc>
          <w:tcPr>
            <w:tcW w:type="dxa" w:w="2400"/>
            <w:tcBorders>
              <w:top w:val="single" w:color="CCCCCC" w:sz="1"/>
              <w:left w:val="single" w:color="CCCCCC" w:sz="1"/>
              <w:bottom w:val="single" w:color="CCCCCC" w:sz="1"/>
              <w:right w:val="single" w:color="CCCCCC" w:sz="1"/>
            </w:tcBorders>
            <w:shd w:fill="EEEDF0" w:val="clear"/>
            <w:tcMar>
              <w:top w:type="dxa" w:w="80"/>
              <w:left w:type="dxa" w:w="120"/>
              <w:bottom w:type="dxa" w:w="80"/>
              <w:right w:type="dxa" w:w="120"/>
            </w:tcMar>
          </w:tcPr>
          <w:p>
            <w:r>
              <w:rPr>
                <w:rFonts w:ascii="Arial" w:cs="Arial" w:eastAsia="Arial" w:hAnsi="Arial"/>
                <w:b/>
                <w:bCs/>
                <w:color w:val="1B2A4A"/>
                <w:sz w:val="18"/>
                <w:szCs w:val="18"/>
              </w:rPr>
              <w:t xml:space="preserve">Analytics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Google Analytics 4 or equivalent. Track page views, CTA clicks, and form submissions. Advisor path and institutional path tracked separately.</w:t>
            </w:r>
          </w:p>
        </w:tc>
      </w:tr>
      <w:tr>
        <w:tc>
          <w:tcPr>
            <w:tcW w:type="dxa" w:w="2400"/>
            <w:tcBorders>
              <w:top w:val="single" w:color="CCCCCC" w:sz="1"/>
              <w:left w:val="single" w:color="CCCCCC" w:sz="1"/>
              <w:bottom w:val="single" w:color="CCCCCC" w:sz="1"/>
              <w:right w:val="single" w:color="CCCCCC" w:sz="1"/>
            </w:tcBorders>
            <w:shd w:fill="EEEDF0" w:val="clear"/>
            <w:tcMar>
              <w:top w:type="dxa" w:w="80"/>
              <w:left w:type="dxa" w:w="120"/>
              <w:bottom w:type="dxa" w:w="80"/>
              <w:right w:type="dxa" w:w="120"/>
            </w:tcMar>
          </w:tcPr>
          <w:p>
            <w:r>
              <w:rPr>
                <w:rFonts w:ascii="Arial" w:cs="Arial" w:eastAsia="Arial" w:hAnsi="Arial"/>
                <w:b/>
                <w:bCs/>
                <w:color w:val="1B2A4A"/>
                <w:sz w:val="18"/>
                <w:szCs w:val="18"/>
              </w:rPr>
              <w:t xml:space="preserve">SEO</w:t>
            </w:r>
          </w:p>
        </w:tc>
        <w:tc>
          <w:tcPr>
            <w:tcW w:type="dxa" w:w="69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2C2C2C"/>
                <w:sz w:val="18"/>
                <w:szCs w:val="18"/>
              </w:rPr>
              <w:t xml:space="preserve">React Helmet or equivalent for per-page meta tags. Each page has a unique title, description, and canonical URL.</w:t>
            </w:r>
          </w:p>
        </w:tc>
      </w:tr>
    </w:tbl>
    <w:p>
      <w:pPr>
        <w:spacing w:after="0" w:before="160"/>
      </w:pPr>
      <w:r>
        <w:t xml:space="preserve"/>
      </w:r>
    </w:p>
    <w:p>
      <w:pPr>
        <w:pStyle w:val="Heading2"/>
        <w:spacing w:after="100" w:before="320"/>
      </w:pPr>
      <w:r>
        <w:rPr>
          <w:rFonts w:ascii="Arial" w:cs="Arial" w:eastAsia="Arial" w:hAnsi="Arial"/>
          <w:b/>
          <w:bCs/>
          <w:color w:val="1B2A4A"/>
          <w:sz w:val="28"/>
          <w:szCs w:val="28"/>
        </w:rPr>
        <w:t xml:space="preserve">Component Inventory</w:t>
      </w:r>
    </w:p>
    <w:p>
      <w:pPr>
        <w:spacing w:after="120" w:before="0"/>
      </w:pPr>
      <w:r>
        <w:rPr>
          <w:rFonts w:ascii="Arial" w:cs="Arial" w:eastAsia="Arial" w:hAnsi="Arial"/>
          <w:b w:val="false"/>
          <w:bCs w:val="false"/>
          <w:color w:val="2C2C2C"/>
          <w:sz w:val="20"/>
          <w:szCs w:val="20"/>
        </w:rPr>
        <w:t xml:space="preserve">Build these components before building pages. Pages are assembled from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EEEDF0" w:val="clear"/>
            <w:tcMar>
              <w:top w:type="dxa" w:w="80"/>
              <w:left w:type="dxa" w:w="120"/>
              <w:bottom w:type="dxa" w:w="80"/>
              <w:right w:type="dxa" w:w="120"/>
            </w:tcMar>
          </w:tcPr>
          <w:p>
            <w:r>
              <w:rPr>
                <w:rFonts w:ascii="Arial" w:cs="Arial" w:eastAsia="Arial" w:hAnsi="Arial"/>
                <w:b/>
                <w:bCs/>
                <w:color w:val="1B2A4A"/>
                <w:sz w:val="18"/>
                <w:szCs w:val="18"/>
              </w:rPr>
              <w:t xml:space="preserve">NavBar</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Logo left, five nav items center/right, mobile hamburger. Transparent over hero, navy on scroll.</w:t>
            </w:r>
          </w:p>
        </w:tc>
      </w:tr>
      <w:tr>
        <w:tc>
          <w:tcPr>
            <w:tcW w:type="dxa" w:w="2400"/>
            <w:tcBorders>
              <w:top w:val="single" w:color="CCCCCC" w:sz="1"/>
              <w:left w:val="single" w:color="CCCCCC" w:sz="1"/>
              <w:bottom w:val="single" w:color="CCCCCC" w:sz="1"/>
              <w:right w:val="single" w:color="CCCCCC" w:sz="1"/>
            </w:tcBorders>
            <w:shd w:fill="EEEDF0" w:val="clear"/>
            <w:tcMar>
              <w:top w:type="dxa" w:w="80"/>
              <w:left w:type="dxa" w:w="120"/>
              <w:bottom w:type="dxa" w:w="80"/>
              <w:right w:type="dxa" w:w="120"/>
            </w:tcMar>
          </w:tcPr>
          <w:p>
            <w:r>
              <w:rPr>
                <w:rFonts w:ascii="Arial" w:cs="Arial" w:eastAsia="Arial" w:hAnsi="Arial"/>
                <w:b/>
                <w:bCs/>
                <w:color w:val="1B2A4A"/>
                <w:sz w:val="18"/>
                <w:szCs w:val="18"/>
              </w:rPr>
              <w:t xml:space="preserve">HeroSection</w:t>
            </w:r>
          </w:p>
        </w:tc>
        <w:tc>
          <w:tcPr>
            <w:tcW w:type="dxa" w:w="69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2C2C2C"/>
                <w:sz w:val="18"/>
                <w:szCs w:val="18"/>
              </w:rPr>
              <w:t xml:space="preserve">Full-width, navy background, headline (serif), subheading, one or two CTA buttons. Reusable across pages with prop-driven content.</w:t>
            </w:r>
          </w:p>
        </w:tc>
      </w:tr>
      <w:tr>
        <w:tc>
          <w:tcPr>
            <w:tcW w:type="dxa" w:w="2400"/>
            <w:tcBorders>
              <w:top w:val="single" w:color="CCCCCC" w:sz="1"/>
              <w:left w:val="single" w:color="CCCCCC" w:sz="1"/>
              <w:bottom w:val="single" w:color="CCCCCC" w:sz="1"/>
              <w:right w:val="single" w:color="CCCCCC" w:sz="1"/>
            </w:tcBorders>
            <w:shd w:fill="EEEDF0" w:val="clear"/>
            <w:tcMar>
              <w:top w:type="dxa" w:w="80"/>
              <w:left w:type="dxa" w:w="120"/>
              <w:bottom w:type="dxa" w:w="80"/>
              <w:right w:type="dxa" w:w="120"/>
            </w:tcMar>
          </w:tcPr>
          <w:p>
            <w:r>
              <w:rPr>
                <w:rFonts w:ascii="Arial" w:cs="Arial" w:eastAsia="Arial" w:hAnsi="Arial"/>
                <w:b/>
                <w:bCs/>
                <w:color w:val="1B2A4A"/>
                <w:sz w:val="18"/>
                <w:szCs w:val="18"/>
              </w:rPr>
              <w:t xml:space="preserve">SectionContainer</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Constrained width (max 1200px), centered, with top and bottom padding. Every content section lives inside this.</w:t>
            </w:r>
          </w:p>
        </w:tc>
      </w:tr>
      <w:tr>
        <w:tc>
          <w:tcPr>
            <w:tcW w:type="dxa" w:w="2400"/>
            <w:tcBorders>
              <w:top w:val="single" w:color="CCCCCC" w:sz="1"/>
              <w:left w:val="single" w:color="CCCCCC" w:sz="1"/>
              <w:bottom w:val="single" w:color="CCCCCC" w:sz="1"/>
              <w:right w:val="single" w:color="CCCCCC" w:sz="1"/>
            </w:tcBorders>
            <w:shd w:fill="EEEDF0" w:val="clear"/>
            <w:tcMar>
              <w:top w:type="dxa" w:w="80"/>
              <w:left w:type="dxa" w:w="120"/>
              <w:bottom w:type="dxa" w:w="80"/>
              <w:right w:type="dxa" w:w="120"/>
            </w:tcMar>
          </w:tcPr>
          <w:p>
            <w:r>
              <w:rPr>
                <w:rFonts w:ascii="Arial" w:cs="Arial" w:eastAsia="Arial" w:hAnsi="Arial"/>
                <w:b/>
                <w:bCs/>
                <w:color w:val="1B2A4A"/>
                <w:sz w:val="18"/>
                <w:szCs w:val="18"/>
              </w:rPr>
              <w:t xml:space="preserve">AudienceSplit</w:t>
            </w:r>
          </w:p>
        </w:tc>
        <w:tc>
          <w:tcPr>
            <w:tcW w:type="dxa" w:w="69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2C2C2C"/>
                <w:sz w:val="18"/>
                <w:szCs w:val="18"/>
              </w:rPr>
              <w:t xml:space="preserve">Two-column card layout for the home page bifurcation. Each card links to /advisors or /institutions.</w:t>
            </w:r>
          </w:p>
        </w:tc>
      </w:tr>
      <w:tr>
        <w:tc>
          <w:tcPr>
            <w:tcW w:type="dxa" w:w="2400"/>
            <w:tcBorders>
              <w:top w:val="single" w:color="CCCCCC" w:sz="1"/>
              <w:left w:val="single" w:color="CCCCCC" w:sz="1"/>
              <w:bottom w:val="single" w:color="CCCCCC" w:sz="1"/>
              <w:right w:val="single" w:color="CCCCCC" w:sz="1"/>
            </w:tcBorders>
            <w:shd w:fill="EEEDF0" w:val="clear"/>
            <w:tcMar>
              <w:top w:type="dxa" w:w="80"/>
              <w:left w:type="dxa" w:w="120"/>
              <w:bottom w:type="dxa" w:w="80"/>
              <w:right w:type="dxa" w:w="120"/>
            </w:tcMar>
          </w:tcPr>
          <w:p>
            <w:r>
              <w:rPr>
                <w:rFonts w:ascii="Arial" w:cs="Arial" w:eastAsia="Arial" w:hAnsi="Arial"/>
                <w:b/>
                <w:bCs/>
                <w:color w:val="1B2A4A"/>
                <w:sz w:val="18"/>
                <w:szCs w:val="18"/>
              </w:rPr>
              <w:t xml:space="preserve">InsightBlock</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Three-paragraph prose section with no headers or bullets. The philosophical argument.</w:t>
            </w:r>
          </w:p>
        </w:tc>
      </w:tr>
      <w:tr>
        <w:tc>
          <w:tcPr>
            <w:tcW w:type="dxa" w:w="2400"/>
            <w:tcBorders>
              <w:top w:val="single" w:color="CCCCCC" w:sz="1"/>
              <w:left w:val="single" w:color="CCCCCC" w:sz="1"/>
              <w:bottom w:val="single" w:color="CCCCCC" w:sz="1"/>
              <w:right w:val="single" w:color="CCCCCC" w:sz="1"/>
            </w:tcBorders>
            <w:shd w:fill="EEEDF0" w:val="clear"/>
            <w:tcMar>
              <w:top w:type="dxa" w:w="80"/>
              <w:left w:type="dxa" w:w="120"/>
              <w:bottom w:type="dxa" w:w="80"/>
              <w:right w:type="dxa" w:w="120"/>
            </w:tcMar>
          </w:tcPr>
          <w:p>
            <w:r>
              <w:rPr>
                <w:rFonts w:ascii="Arial" w:cs="Arial" w:eastAsia="Arial" w:hAnsi="Arial"/>
                <w:b/>
                <w:bCs/>
                <w:color w:val="1B2A4A"/>
                <w:sz w:val="18"/>
                <w:szCs w:val="18"/>
              </w:rPr>
              <w:t xml:space="preserve">ProcessStep</w:t>
            </w:r>
          </w:p>
        </w:tc>
        <w:tc>
          <w:tcPr>
            <w:tcW w:type="dxa" w:w="69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2C2C2C"/>
                <w:sz w:val="18"/>
                <w:szCs w:val="18"/>
              </w:rPr>
              <w:t xml:space="preserve">Numbered step with headline and body. Used on the Process page.</w:t>
            </w:r>
          </w:p>
        </w:tc>
      </w:tr>
      <w:tr>
        <w:tc>
          <w:tcPr>
            <w:tcW w:type="dxa" w:w="2400"/>
            <w:tcBorders>
              <w:top w:val="single" w:color="CCCCCC" w:sz="1"/>
              <w:left w:val="single" w:color="CCCCCC" w:sz="1"/>
              <w:bottom w:val="single" w:color="CCCCCC" w:sz="1"/>
              <w:right w:val="single" w:color="CCCCCC" w:sz="1"/>
            </w:tcBorders>
            <w:shd w:fill="EEEDF0" w:val="clear"/>
            <w:tcMar>
              <w:top w:type="dxa" w:w="80"/>
              <w:left w:type="dxa" w:w="120"/>
              <w:bottom w:type="dxa" w:w="80"/>
              <w:right w:type="dxa" w:w="120"/>
            </w:tcMar>
          </w:tcPr>
          <w:p>
            <w:r>
              <w:rPr>
                <w:rFonts w:ascii="Arial" w:cs="Arial" w:eastAsia="Arial" w:hAnsi="Arial"/>
                <w:b/>
                <w:bCs/>
                <w:color w:val="1B2A4A"/>
                <w:sz w:val="18"/>
                <w:szCs w:val="18"/>
              </w:rPr>
              <w:t xml:space="preserve">SubStyleDiagram</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The sub-style migration visual. A simple SVG or Canvas animation showing portfolio positioning moving across sub-styles within a mandate. This is the one bespoke component.</w:t>
            </w:r>
          </w:p>
        </w:tc>
      </w:tr>
      <w:tr>
        <w:tc>
          <w:tcPr>
            <w:tcW w:type="dxa" w:w="2400"/>
            <w:tcBorders>
              <w:top w:val="single" w:color="CCCCCC" w:sz="1"/>
              <w:left w:val="single" w:color="CCCCCC" w:sz="1"/>
              <w:bottom w:val="single" w:color="CCCCCC" w:sz="1"/>
              <w:right w:val="single" w:color="CCCCCC" w:sz="1"/>
            </w:tcBorders>
            <w:shd w:fill="EEEDF0" w:val="clear"/>
            <w:tcMar>
              <w:top w:type="dxa" w:w="80"/>
              <w:left w:type="dxa" w:w="120"/>
              <w:bottom w:type="dxa" w:w="80"/>
              <w:right w:type="dxa" w:w="120"/>
            </w:tcMar>
          </w:tcPr>
          <w:p>
            <w:r>
              <w:rPr>
                <w:rFonts w:ascii="Arial" w:cs="Arial" w:eastAsia="Arial" w:hAnsi="Arial"/>
                <w:b/>
                <w:bCs/>
                <w:color w:val="1B2A4A"/>
                <w:sz w:val="18"/>
                <w:szCs w:val="18"/>
              </w:rPr>
              <w:t xml:space="preserve">ThreeColBlock</w:t>
            </w:r>
          </w:p>
        </w:tc>
        <w:tc>
          <w:tcPr>
            <w:tcW w:type="dxa" w:w="69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2C2C2C"/>
                <w:sz w:val="18"/>
                <w:szCs w:val="18"/>
              </w:rPr>
              <w:t xml:space="preserve">Three equal columns with headline and body. Used for the PaaS three-block section on /advisors.</w:t>
            </w:r>
          </w:p>
        </w:tc>
      </w:tr>
      <w:tr>
        <w:tc>
          <w:tcPr>
            <w:tcW w:type="dxa" w:w="2400"/>
            <w:tcBorders>
              <w:top w:val="single" w:color="CCCCCC" w:sz="1"/>
              <w:left w:val="single" w:color="CCCCCC" w:sz="1"/>
              <w:bottom w:val="single" w:color="CCCCCC" w:sz="1"/>
              <w:right w:val="single" w:color="CCCCCC" w:sz="1"/>
            </w:tcBorders>
            <w:shd w:fill="EEEDF0" w:val="clear"/>
            <w:tcMar>
              <w:top w:type="dxa" w:w="80"/>
              <w:left w:type="dxa" w:w="120"/>
              <w:bottom w:type="dxa" w:w="80"/>
              <w:right w:type="dxa" w:w="120"/>
            </w:tcMar>
          </w:tcPr>
          <w:p>
            <w:r>
              <w:rPr>
                <w:rFonts w:ascii="Arial" w:cs="Arial" w:eastAsia="Arial" w:hAnsi="Arial"/>
                <w:b/>
                <w:bCs/>
                <w:color w:val="1B2A4A"/>
                <w:sz w:val="18"/>
                <w:szCs w:val="18"/>
              </w:rPr>
              <w:t xml:space="preserve">TeamCard</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Photo, name, title, brief bio. Used on /about.</w:t>
            </w:r>
          </w:p>
        </w:tc>
      </w:tr>
      <w:tr>
        <w:tc>
          <w:tcPr>
            <w:tcW w:type="dxa" w:w="2400"/>
            <w:tcBorders>
              <w:top w:val="single" w:color="CCCCCC" w:sz="1"/>
              <w:left w:val="single" w:color="CCCCCC" w:sz="1"/>
              <w:bottom w:val="single" w:color="CCCCCC" w:sz="1"/>
              <w:right w:val="single" w:color="CCCCCC" w:sz="1"/>
            </w:tcBorders>
            <w:shd w:fill="EEEDF0" w:val="clear"/>
            <w:tcMar>
              <w:top w:type="dxa" w:w="80"/>
              <w:left w:type="dxa" w:w="120"/>
              <w:bottom w:type="dxa" w:w="80"/>
              <w:right w:type="dxa" w:w="120"/>
            </w:tcMar>
          </w:tcPr>
          <w:p>
            <w:r>
              <w:rPr>
                <w:rFonts w:ascii="Arial" w:cs="Arial" w:eastAsia="Arial" w:hAnsi="Arial"/>
                <w:b/>
                <w:bCs/>
                <w:color w:val="1B2A4A"/>
                <w:sz w:val="18"/>
                <w:szCs w:val="18"/>
              </w:rPr>
              <w:t xml:space="preserve">ProofPoint</w:t>
            </w:r>
          </w:p>
        </w:tc>
        <w:tc>
          <w:tcPr>
            <w:tcW w:type="dxa" w:w="69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2C2C2C"/>
                <w:sz w:val="18"/>
                <w:szCs w:val="18"/>
              </w:rPr>
              <w:t xml:space="preserve">Branded block with the institutional proof point sentence. Navy background, gold rule, white text. Reusable across pages.</w:t>
            </w:r>
          </w:p>
        </w:tc>
      </w:tr>
      <w:tr>
        <w:tc>
          <w:tcPr>
            <w:tcW w:type="dxa" w:w="2400"/>
            <w:tcBorders>
              <w:top w:val="single" w:color="CCCCCC" w:sz="1"/>
              <w:left w:val="single" w:color="CCCCCC" w:sz="1"/>
              <w:bottom w:val="single" w:color="CCCCCC" w:sz="1"/>
              <w:right w:val="single" w:color="CCCCCC" w:sz="1"/>
            </w:tcBorders>
            <w:shd w:fill="EEEDF0" w:val="clear"/>
            <w:tcMar>
              <w:top w:type="dxa" w:w="80"/>
              <w:left w:type="dxa" w:w="120"/>
              <w:bottom w:type="dxa" w:w="80"/>
              <w:right w:type="dxa" w:w="120"/>
            </w:tcMar>
          </w:tcPr>
          <w:p>
            <w:r>
              <w:rPr>
                <w:rFonts w:ascii="Arial" w:cs="Arial" w:eastAsia="Arial" w:hAnsi="Arial"/>
                <w:b/>
                <w:bCs/>
                <w:color w:val="1B2A4A"/>
                <w:sz w:val="18"/>
                <w:szCs w:val="18"/>
              </w:rPr>
              <w:t xml:space="preserve">CTAStrip</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Full-width section with headline and one or two CTA buttons. Used at the bottom of every marketing page.</w:t>
            </w:r>
          </w:p>
        </w:tc>
      </w:tr>
      <w:tr>
        <w:tc>
          <w:tcPr>
            <w:tcW w:type="dxa" w:w="2400"/>
            <w:tcBorders>
              <w:top w:val="single" w:color="CCCCCC" w:sz="1"/>
              <w:left w:val="single" w:color="CCCCCC" w:sz="1"/>
              <w:bottom w:val="single" w:color="CCCCCC" w:sz="1"/>
              <w:right w:val="single" w:color="CCCCCC" w:sz="1"/>
            </w:tcBorders>
            <w:shd w:fill="EEEDF0" w:val="clear"/>
            <w:tcMar>
              <w:top w:type="dxa" w:w="80"/>
              <w:left w:type="dxa" w:w="120"/>
              <w:bottom w:type="dxa" w:w="80"/>
              <w:right w:type="dxa" w:w="120"/>
            </w:tcMar>
          </w:tcPr>
          <w:p>
            <w:r>
              <w:rPr>
                <w:rFonts w:ascii="Arial" w:cs="Arial" w:eastAsia="Arial" w:hAnsi="Arial"/>
                <w:b/>
                <w:bCs/>
                <w:color w:val="1B2A4A"/>
                <w:sz w:val="18"/>
                <w:szCs w:val="18"/>
              </w:rPr>
              <w:t xml:space="preserve">ContactForm</w:t>
            </w:r>
          </w:p>
        </w:tc>
        <w:tc>
          <w:tcPr>
            <w:tcW w:type="dxa" w:w="69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2C2C2C"/>
                <w:sz w:val="18"/>
                <w:szCs w:val="18"/>
              </w:rPr>
              <w:t xml:space="preserve">Two-path contact section. Advisor path and institutional path with distinct form fields and routing.</w:t>
            </w:r>
          </w:p>
        </w:tc>
      </w:tr>
      <w:tr>
        <w:tc>
          <w:tcPr>
            <w:tcW w:type="dxa" w:w="2400"/>
            <w:tcBorders>
              <w:top w:val="single" w:color="CCCCCC" w:sz="1"/>
              <w:left w:val="single" w:color="CCCCCC" w:sz="1"/>
              <w:bottom w:val="single" w:color="CCCCCC" w:sz="1"/>
              <w:right w:val="single" w:color="CCCCCC" w:sz="1"/>
            </w:tcBorders>
            <w:shd w:fill="EEEDF0" w:val="clear"/>
            <w:tcMar>
              <w:top w:type="dxa" w:w="80"/>
              <w:left w:type="dxa" w:w="120"/>
              <w:bottom w:type="dxa" w:w="80"/>
              <w:right w:type="dxa" w:w="120"/>
            </w:tcMar>
          </w:tcPr>
          <w:p>
            <w:r>
              <w:rPr>
                <w:rFonts w:ascii="Arial" w:cs="Arial" w:eastAsia="Arial" w:hAnsi="Arial"/>
                <w:b/>
                <w:bCs/>
                <w:color w:val="1B2A4A"/>
                <w:sz w:val="18"/>
                <w:szCs w:val="18"/>
              </w:rPr>
              <w:t xml:space="preserve">Footer</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18"/>
                <w:szCs w:val="18"/>
              </w:rPr>
              <w:t xml:space="preserve">Logo, five footer links, legal, copyright, contact info.</w:t>
            </w:r>
          </w:p>
        </w:tc>
      </w:tr>
    </w:tbl>
    <w:p>
      <w:pPr>
        <w:spacing w:after="0" w:before="160"/>
      </w:pPr>
      <w:r>
        <w:t xml:space="preserve"/>
      </w:r>
    </w:p>
    <w:p>
      <w:pPr>
        <w:pStyle w:val="Heading2"/>
        <w:spacing w:after="100" w:before="320"/>
      </w:pPr>
      <w:r>
        <w:rPr>
          <w:rFonts w:ascii="Arial" w:cs="Arial" w:eastAsia="Arial" w:hAnsi="Arial"/>
          <w:b/>
          <w:bCs/>
          <w:color w:val="1B2A4A"/>
          <w:sz w:val="28"/>
          <w:szCs w:val="28"/>
        </w:rPr>
        <w:t xml:space="preserve">Copy-First Development Protocol</w:t>
      </w:r>
    </w:p>
    <w:p>
      <w:pPr>
        <w:spacing w:after="160" w:before="0"/>
      </w:pPr>
      <w:r>
        <w:rPr>
          <w:rFonts w:ascii="Arial" w:cs="Arial" w:eastAsia="Arial" w:hAnsi="Arial"/>
          <w:b w:val="false"/>
          <w:bCs w:val="false"/>
          <w:color w:val="2C2C2C"/>
          <w:sz w:val="20"/>
          <w:szCs w:val="20"/>
        </w:rPr>
        <w:t xml:space="preserve">Every page section has approved copy before the component is built. The developer does not write copy or use placeholder Lorem Ipsum text in the final build. Placeholder copy from this brief is used during development and replaced with final approved copy before launch.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A7B3A" w:sz="10"/>
              <w:left w:val="single" w:color="2E6B4F" w:sz="24"/>
              <w:bottom w:val="none" w:color="FFFFFF" w:sz="0"/>
              <w:right w:val="none" w:color="FFFFFF" w:sz="0"/>
            </w:tcBorders>
            <w:shd w:fill="EEEDF0" w:val="clear"/>
            <w:tcMar>
              <w:top w:type="dxa" w:w="120"/>
              <w:left w:type="dxa" w:w="200"/>
              <w:bottom w:type="dxa" w:w="140"/>
              <w:right w:type="dxa" w:w="200"/>
            </w:tcMar>
          </w:tcPr>
          <w:p>
            <w:pPr>
              <w:spacing w:after="80" w:before="0"/>
            </w:pPr>
            <w:r>
              <w:rPr>
                <w:rFonts w:ascii="Arial" w:cs="Arial" w:eastAsia="Arial" w:hAnsi="Arial"/>
                <w:b/>
                <w:bCs/>
                <w:color w:val="1B2A4A"/>
                <w:sz w:val="15"/>
                <w:szCs w:val="15"/>
              </w:rPr>
              <w:t xml:space="preserve">WHAT GOES LIVE VS WHAT COMES LATER</w:t>
            </w:r>
          </w:p>
          <w:p>
            <w:pPr>
              <w:spacing w:after="40" w:before="0"/>
            </w:pPr>
            <w:r>
              <w:rPr>
                <w:rFonts w:ascii="Arial" w:cs="Arial" w:eastAsia="Arial" w:hAnsi="Arial"/>
                <w:color w:val="2C2C2C"/>
                <w:sz w:val="19"/>
                <w:szCs w:val="19"/>
              </w:rPr>
              <w:t xml:space="preserve">Phase 1 (before Sopro volume): Home, For Advisors, Contact, Legal. These four pages are the minimum viable site that makes the Sopro campaign work.</w:t>
            </w:r>
          </w:p>
          <w:p>
            <w:pPr>
              <w:spacing w:after="40" w:before="0"/>
            </w:pPr>
            <w:r>
              <w:rPr>
                <w:rFonts w:ascii="Arial" w:cs="Arial" w:eastAsia="Arial" w:hAnsi="Arial"/>
                <w:color w:val="2C2C2C"/>
                <w:sz w:val="19"/>
                <w:szCs w:val="19"/>
              </w:rPr>
              <w:t xml:space="preserve">Phase 2 (within 30 days of Phase 1): For Institutions, Our Process, About with full team bios.</w:t>
            </w:r>
          </w:p>
          <w:p>
            <w:pPr>
              <w:spacing w:after="40" w:before="0"/>
            </w:pPr>
            <w:r>
              <w:rPr>
                <w:rFonts w:ascii="Arial" w:cs="Arial" w:eastAsia="Arial" w:hAnsi="Arial"/>
                <w:color w:val="2C2C2C"/>
                <w:sz w:val="19"/>
                <w:szCs w:val="19"/>
              </w:rPr>
              <w:t xml:space="preserve">Phase 3 (ongoing): Performance track record section if compliance permits, case studies if available, updated team photos.</w:t>
            </w:r>
          </w:p>
          <w:p>
            <w:pPr>
              <w:spacing w:after="40" w:before="0"/>
            </w:pPr>
            <w:r>
              <w:rPr>
                <w:rFonts w:ascii="Arial" w:cs="Arial" w:eastAsia="Arial" w:hAnsi="Arial"/>
                <w:color w:val="2C2C2C"/>
                <w:sz w:val="19"/>
                <w:szCs w:val="19"/>
              </w:rPr>
              <w:t xml:space="preserve">The developer should build the full component library in Phase 1 so Phase 2 and 3 are assembly, not new development.</w:t>
            </w:r>
          </w:p>
        </w:tc>
      </w:tr>
    </w:tbl>
    <w:p>
      <w:pPr>
        <w:spacing w:after="0" w:before="20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2A4A" w:val="clear"/>
            <w:tcMar>
              <w:top w:type="dxa" w:w="180"/>
              <w:left w:type="dxa" w:w="320"/>
              <w:bottom w:type="dxa" w:w="180"/>
              <w:right w:type="dxa" w:w="320"/>
            </w:tcMar>
          </w:tcPr>
          <w:p>
            <w:pPr>
              <w:spacing w:after="70" w:before="0"/>
            </w:pPr>
            <w:r>
              <w:rPr>
                <w:rFonts w:ascii="Arial" w:cs="Arial" w:eastAsia="Arial" w:hAnsi="Arial"/>
                <w:b/>
                <w:bCs/>
                <w:color w:val="C4A25B"/>
                <w:spacing w:val="80"/>
                <w:sz w:val="16"/>
                <w:szCs w:val="16"/>
              </w:rPr>
              <w:t xml:space="preserve">SECTION 07</w:t>
            </w:r>
          </w:p>
          <w:p>
            <w:pPr>
              <w:spacing w:after="70" w:before="0"/>
            </w:pPr>
            <w:r>
              <w:rPr>
                <w:rFonts w:ascii="Arial" w:cs="Arial" w:eastAsia="Arial" w:hAnsi="Arial"/>
                <w:b/>
                <w:bCs/>
                <w:color w:val="FFFFFF"/>
                <w:sz w:val="30"/>
                <w:szCs w:val="30"/>
              </w:rPr>
              <w:t xml:space="preserve">Pre-Launch Checklist</w:t>
            </w:r>
          </w:p>
          <w:p>
            <w:pPr>
              <w:spacing w:after="0" w:before="0"/>
            </w:pPr>
            <w:r>
              <w:rPr>
                <w:rFonts w:ascii="Arial" w:cs="Arial" w:eastAsia="Arial" w:hAnsi="Arial"/>
                <w:color w:val="BBBBBB"/>
                <w:sz w:val="18"/>
                <w:szCs w:val="18"/>
              </w:rPr>
              <w:t xml:space="preserve">Everything that must be true before paradigmasset.com points to the new site</w:t>
            </w:r>
          </w:p>
        </w:tc>
      </w:tr>
    </w:tbl>
    <w:p>
      <w:pPr>
        <w:spacing w:after="0" w:before="220"/>
      </w:pPr>
      <w:r>
        <w:t xml:space="preserve"/>
      </w:r>
    </w:p>
    <w:p>
      <w:pPr>
        <w:pStyle w:val="Heading2"/>
        <w:spacing w:after="100" w:before="320"/>
      </w:pPr>
      <w:r>
        <w:rPr>
          <w:rFonts w:ascii="Arial" w:cs="Arial" w:eastAsia="Arial" w:hAnsi="Arial"/>
          <w:b/>
          <w:bCs/>
          <w:color w:val="1B2A4A"/>
          <w:sz w:val="28"/>
          <w:szCs w:val="28"/>
        </w:rPr>
        <w:t xml:space="preserve">Content</w:t>
      </w:r>
    </w:p>
    <w:p>
      <w:pPr>
        <w:pStyle w:val="ListParagraph"/>
        <w:numPr>
          <w:ilvl w:val="0"/>
          <w:numId w:val="2"/>
        </w:numPr>
        <w:spacing w:after="60" w:before="40"/>
      </w:pPr>
      <w:r>
        <w:rPr>
          <w:rFonts w:ascii="Arial" w:cs="Arial" w:eastAsia="Arial" w:hAnsi="Arial"/>
          <w:color w:val="2C2C2C"/>
          <w:sz w:val="20"/>
          <w:szCs w:val="20"/>
        </w:rPr>
        <w:t xml:space="preserve">Home page copy approved by James Francis</w:t>
      </w:r>
    </w:p>
    <w:p>
      <w:pPr>
        <w:pStyle w:val="ListParagraph"/>
        <w:numPr>
          <w:ilvl w:val="0"/>
          <w:numId w:val="2"/>
        </w:numPr>
        <w:spacing w:after="60" w:before="40"/>
      </w:pPr>
      <w:r>
        <w:rPr>
          <w:rFonts w:ascii="Arial" w:cs="Arial" w:eastAsia="Arial" w:hAnsi="Arial"/>
          <w:color w:val="2C2C2C"/>
          <w:sz w:val="20"/>
          <w:szCs w:val="20"/>
        </w:rPr>
        <w:t xml:space="preserve">For Advisors page copy approved — consistent with Sopro production brief v1.0</w:t>
      </w:r>
    </w:p>
    <w:p>
      <w:pPr>
        <w:pStyle w:val="ListParagraph"/>
        <w:numPr>
          <w:ilvl w:val="0"/>
          <w:numId w:val="2"/>
        </w:numPr>
        <w:spacing w:after="60" w:before="40"/>
      </w:pPr>
      <w:r>
        <w:rPr>
          <w:rFonts w:ascii="Arial" w:cs="Arial" w:eastAsia="Arial" w:hAnsi="Arial"/>
          <w:color w:val="2C2C2C"/>
          <w:sz w:val="20"/>
          <w:szCs w:val="20"/>
        </w:rPr>
        <w:t xml:space="preserve">Contact page live with correct phone (212.771.6100) and email (jef@paradigmasset.com)</w:t>
      </w:r>
    </w:p>
    <w:p>
      <w:pPr>
        <w:pStyle w:val="ListParagraph"/>
        <w:numPr>
          <w:ilvl w:val="0"/>
          <w:numId w:val="2"/>
        </w:numPr>
        <w:spacing w:after="60" w:before="40"/>
      </w:pPr>
      <w:r>
        <w:rPr>
          <w:rFonts w:ascii="Arial" w:cs="Arial" w:eastAsia="Arial" w:hAnsi="Arial"/>
          <w:color w:val="2C2C2C"/>
          <w:sz w:val="20"/>
          <w:szCs w:val="20"/>
        </w:rPr>
        <w:t xml:space="preserve">Legal page live with current ADV Part 2 link and privacy policy</w:t>
      </w:r>
    </w:p>
    <w:p>
      <w:pPr>
        <w:pStyle w:val="ListParagraph"/>
        <w:numPr>
          <w:ilvl w:val="0"/>
          <w:numId w:val="2"/>
        </w:numPr>
        <w:spacing w:after="60" w:before="40"/>
      </w:pPr>
      <w:r>
        <w:rPr>
          <w:rFonts w:ascii="Arial" w:cs="Arial" w:eastAsia="Arial" w:hAnsi="Arial"/>
          <w:color w:val="2C2C2C"/>
          <w:sz w:val="20"/>
          <w:szCs w:val="20"/>
        </w:rPr>
        <w:t xml:space="preserve">All placeholder copy replaced with approved final copy</w:t>
      </w:r>
    </w:p>
    <w:p>
      <w:pPr>
        <w:pStyle w:val="ListParagraph"/>
        <w:numPr>
          <w:ilvl w:val="0"/>
          <w:numId w:val="2"/>
        </w:numPr>
        <w:spacing w:after="60" w:before="40"/>
      </w:pPr>
      <w:r>
        <w:rPr>
          <w:rFonts w:ascii="Arial" w:cs="Arial" w:eastAsia="Arial" w:hAnsi="Arial"/>
          <w:color w:val="2C2C2C"/>
          <w:sz w:val="20"/>
          <w:szCs w:val="20"/>
        </w:rPr>
        <w:t xml:space="preserve">Team section uses current names and titles — James Francis as Founder and CEO</w:t>
      </w:r>
    </w:p>
    <w:p>
      <w:pPr>
        <w:pStyle w:val="ListParagraph"/>
        <w:numPr>
          <w:ilvl w:val="0"/>
          <w:numId w:val="2"/>
        </w:numPr>
        <w:spacing w:after="60" w:before="40"/>
      </w:pPr>
      <w:r>
        <w:rPr>
          <w:rFonts w:ascii="Arial" w:cs="Arial" w:eastAsia="Arial" w:hAnsi="Arial"/>
          <w:color w:val="2C2C2C"/>
          <w:sz w:val="20"/>
          <w:szCs w:val="20"/>
        </w:rPr>
        <w:t xml:space="preserve">65 of the top 100 pension funds figure appears in appropriate institutional context only</w:t>
      </w:r>
    </w:p>
    <w:p>
      <w:pPr>
        <w:spacing w:after="0" w:before="120"/>
      </w:pPr>
      <w:r>
        <w:t xml:space="preserve"/>
      </w:r>
    </w:p>
    <w:p>
      <w:pPr>
        <w:pStyle w:val="Heading2"/>
        <w:spacing w:after="100" w:before="320"/>
      </w:pPr>
      <w:r>
        <w:rPr>
          <w:rFonts w:ascii="Arial" w:cs="Arial" w:eastAsia="Arial" w:hAnsi="Arial"/>
          <w:b/>
          <w:bCs/>
          <w:color w:val="1B2A4A"/>
          <w:sz w:val="28"/>
          <w:szCs w:val="28"/>
        </w:rPr>
        <w:t xml:space="preserve">Technical</w:t>
      </w:r>
    </w:p>
    <w:p>
      <w:pPr>
        <w:pStyle w:val="ListParagraph"/>
        <w:numPr>
          <w:ilvl w:val="0"/>
          <w:numId w:val="2"/>
        </w:numPr>
        <w:spacing w:after="60" w:before="40"/>
      </w:pPr>
      <w:r>
        <w:rPr>
          <w:rFonts w:ascii="Arial" w:cs="Arial" w:eastAsia="Arial" w:hAnsi="Arial"/>
          <w:color w:val="2C2C2C"/>
          <w:sz w:val="20"/>
          <w:szCs w:val="20"/>
        </w:rPr>
        <w:t xml:space="preserve">Site loads in under 2 seconds on a standard mobile connection</w:t>
      </w:r>
    </w:p>
    <w:p>
      <w:pPr>
        <w:pStyle w:val="ListParagraph"/>
        <w:numPr>
          <w:ilvl w:val="0"/>
          <w:numId w:val="2"/>
        </w:numPr>
        <w:spacing w:after="60" w:before="40"/>
      </w:pPr>
      <w:r>
        <w:rPr>
          <w:rFonts w:ascii="Arial" w:cs="Arial" w:eastAsia="Arial" w:hAnsi="Arial"/>
          <w:color w:val="2C2C2C"/>
          <w:sz w:val="20"/>
          <w:szCs w:val="20"/>
        </w:rPr>
        <w:t xml:space="preserve">All five pages render correctly at 375px, 768px, and 1440px widths</w:t>
      </w:r>
    </w:p>
    <w:p>
      <w:pPr>
        <w:pStyle w:val="ListParagraph"/>
        <w:numPr>
          <w:ilvl w:val="0"/>
          <w:numId w:val="2"/>
        </w:numPr>
        <w:spacing w:after="60" w:before="40"/>
      </w:pPr>
      <w:r>
        <w:rPr>
          <w:rFonts w:ascii="Arial" w:cs="Arial" w:eastAsia="Arial" w:hAnsi="Arial"/>
          <w:color w:val="2C2C2C"/>
          <w:sz w:val="20"/>
          <w:szCs w:val="20"/>
        </w:rPr>
        <w:t xml:space="preserve">Contact forms submit correctly and route to the right email address</w:t>
      </w:r>
    </w:p>
    <w:p>
      <w:pPr>
        <w:pStyle w:val="ListParagraph"/>
        <w:numPr>
          <w:ilvl w:val="0"/>
          <w:numId w:val="2"/>
        </w:numPr>
        <w:spacing w:after="60" w:before="40"/>
      </w:pPr>
      <w:r>
        <w:rPr>
          <w:rFonts w:ascii="Arial" w:cs="Arial" w:eastAsia="Arial" w:hAnsi="Arial"/>
          <w:color w:val="2C2C2C"/>
          <w:sz w:val="20"/>
          <w:szCs w:val="20"/>
        </w:rPr>
        <w:t xml:space="preserve">Google Analytics 4 tracking confirmed on all pages</w:t>
      </w:r>
    </w:p>
    <w:p>
      <w:pPr>
        <w:pStyle w:val="ListParagraph"/>
        <w:numPr>
          <w:ilvl w:val="0"/>
          <w:numId w:val="2"/>
        </w:numPr>
        <w:spacing w:after="60" w:before="40"/>
      </w:pPr>
      <w:r>
        <w:rPr>
          <w:rFonts w:ascii="Arial" w:cs="Arial" w:eastAsia="Arial" w:hAnsi="Arial"/>
          <w:color w:val="2C2C2C"/>
          <w:sz w:val="20"/>
          <w:szCs w:val="20"/>
        </w:rPr>
        <w:t xml:space="preserve">React Helmet meta tags confirmed on all pages</w:t>
      </w:r>
    </w:p>
    <w:p>
      <w:pPr>
        <w:pStyle w:val="ListParagraph"/>
        <w:numPr>
          <w:ilvl w:val="0"/>
          <w:numId w:val="2"/>
        </w:numPr>
        <w:spacing w:after="60" w:before="40"/>
      </w:pPr>
      <w:r>
        <w:rPr>
          <w:rFonts w:ascii="Arial" w:cs="Arial" w:eastAsia="Arial" w:hAnsi="Arial"/>
          <w:color w:val="2C2C2C"/>
          <w:sz w:val="20"/>
          <w:szCs w:val="20"/>
        </w:rPr>
        <w:t xml:space="preserve">No console errors in production build</w:t>
      </w:r>
    </w:p>
    <w:p>
      <w:pPr>
        <w:pStyle w:val="ListParagraph"/>
        <w:numPr>
          <w:ilvl w:val="0"/>
          <w:numId w:val="2"/>
        </w:numPr>
        <w:spacing w:after="60" w:before="40"/>
      </w:pPr>
      <w:r>
        <w:rPr>
          <w:rFonts w:ascii="Arial" w:cs="Arial" w:eastAsia="Arial" w:hAnsi="Arial"/>
          <w:color w:val="2C2C2C"/>
          <w:sz w:val="20"/>
          <w:szCs w:val="20"/>
        </w:rPr>
        <w:t xml:space="preserve">paasinvest.com 301 redirect to paradigmasset.com/advisors confirmed</w:t>
      </w:r>
    </w:p>
    <w:p>
      <w:pPr>
        <w:spacing w:after="0" w:before="120"/>
      </w:pPr>
      <w:r>
        <w:t xml:space="preserve"/>
      </w:r>
    </w:p>
    <w:p>
      <w:pPr>
        <w:pStyle w:val="Heading2"/>
        <w:spacing w:after="100" w:before="320"/>
      </w:pPr>
      <w:r>
        <w:rPr>
          <w:rFonts w:ascii="Arial" w:cs="Arial" w:eastAsia="Arial" w:hAnsi="Arial"/>
          <w:b/>
          <w:bCs/>
          <w:color w:val="1B2A4A"/>
          <w:sz w:val="28"/>
          <w:szCs w:val="28"/>
        </w:rPr>
        <w:t xml:space="preserve">Compliance</w:t>
      </w:r>
    </w:p>
    <w:p>
      <w:pPr>
        <w:pStyle w:val="ListParagraph"/>
        <w:numPr>
          <w:ilvl w:val="0"/>
          <w:numId w:val="2"/>
        </w:numPr>
        <w:spacing w:after="60" w:before="40"/>
      </w:pPr>
      <w:r>
        <w:rPr>
          <w:rFonts w:ascii="Arial" w:cs="Arial" w:eastAsia="Arial" w:hAnsi="Arial"/>
          <w:color w:val="2C2C2C"/>
          <w:sz w:val="20"/>
          <w:szCs w:val="20"/>
        </w:rPr>
        <w:t xml:space="preserve">Legal page reviewed by compliance counsel before launch</w:t>
      </w:r>
    </w:p>
    <w:p>
      <w:pPr>
        <w:pStyle w:val="ListParagraph"/>
        <w:numPr>
          <w:ilvl w:val="0"/>
          <w:numId w:val="2"/>
        </w:numPr>
        <w:spacing w:after="60" w:before="40"/>
      </w:pPr>
      <w:r>
        <w:rPr>
          <w:rFonts w:ascii="Arial" w:cs="Arial" w:eastAsia="Arial" w:hAnsi="Arial"/>
          <w:color w:val="2C2C2C"/>
          <w:sz w:val="20"/>
          <w:szCs w:val="20"/>
        </w:rPr>
        <w:t xml:space="preserve">No performance data or return figures on any public page</w:t>
      </w:r>
    </w:p>
    <w:p>
      <w:pPr>
        <w:pStyle w:val="ListParagraph"/>
        <w:numPr>
          <w:ilvl w:val="0"/>
          <w:numId w:val="2"/>
        </w:numPr>
        <w:spacing w:after="60" w:before="40"/>
      </w:pPr>
      <w:r>
        <w:rPr>
          <w:rFonts w:ascii="Arial" w:cs="Arial" w:eastAsia="Arial" w:hAnsi="Arial"/>
          <w:color w:val="2C2C2C"/>
          <w:sz w:val="20"/>
          <w:szCs w:val="20"/>
        </w:rPr>
        <w:t xml:space="preserve">No testimonials on any page unless sourced from real, named, consenting clients</w:t>
      </w:r>
    </w:p>
    <w:p>
      <w:pPr>
        <w:pStyle w:val="ListParagraph"/>
        <w:numPr>
          <w:ilvl w:val="0"/>
          <w:numId w:val="2"/>
        </w:numPr>
        <w:spacing w:after="60" w:before="40"/>
      </w:pPr>
      <w:r>
        <w:rPr>
          <w:rFonts w:ascii="Arial" w:cs="Arial" w:eastAsia="Arial" w:hAnsi="Arial"/>
          <w:color w:val="2C2C2C"/>
          <w:sz w:val="20"/>
          <w:szCs w:val="20"/>
        </w:rPr>
        <w:t xml:space="preserve">ADV Part 2 link is current and functional</w:t>
      </w:r>
    </w:p>
    <w:p>
      <w:pPr>
        <w:pStyle w:val="ListParagraph"/>
        <w:numPr>
          <w:ilvl w:val="0"/>
          <w:numId w:val="2"/>
        </w:numPr>
        <w:spacing w:after="60" w:before="40"/>
      </w:pPr>
      <w:r>
        <w:rPr>
          <w:rFonts w:ascii="Arial" w:cs="Arial" w:eastAsia="Arial" w:hAnsi="Arial"/>
          <w:color w:val="2C2C2C"/>
          <w:sz w:val="20"/>
          <w:szCs w:val="20"/>
        </w:rPr>
        <w:t xml:space="preserve">'Past performance does not guarantee future results' or equivalent disclosure present where appropriate</w:t>
      </w:r>
    </w:p>
    <w:p>
      <w:pPr>
        <w:spacing w:after="0" w:before="120"/>
      </w:pPr>
      <w:r>
        <w:t xml:space="preserve"/>
      </w:r>
    </w:p>
    <w:p>
      <w:pPr>
        <w:pStyle w:val="Heading2"/>
        <w:spacing w:after="100" w:before="320"/>
      </w:pPr>
      <w:r>
        <w:rPr>
          <w:rFonts w:ascii="Arial" w:cs="Arial" w:eastAsia="Arial" w:hAnsi="Arial"/>
          <w:b/>
          <w:bCs/>
          <w:color w:val="1B2A4A"/>
          <w:sz w:val="28"/>
          <w:szCs w:val="28"/>
        </w:rPr>
        <w:t xml:space="preserve">Brand Consistency</w:t>
      </w:r>
    </w:p>
    <w:p>
      <w:pPr>
        <w:pStyle w:val="ListParagraph"/>
        <w:numPr>
          <w:ilvl w:val="0"/>
          <w:numId w:val="2"/>
        </w:numPr>
        <w:spacing w:after="60" w:before="40"/>
      </w:pPr>
      <w:r>
        <w:rPr>
          <w:rFonts w:ascii="Arial" w:cs="Arial" w:eastAsia="Arial" w:hAnsi="Arial"/>
          <w:color w:val="2C2C2C"/>
          <w:sz w:val="20"/>
          <w:szCs w:val="20"/>
        </w:rPr>
        <w:t xml:space="preserve">Navy and gold palette applied consistently across all pages</w:t>
      </w:r>
    </w:p>
    <w:p>
      <w:pPr>
        <w:pStyle w:val="ListParagraph"/>
        <w:numPr>
          <w:ilvl w:val="0"/>
          <w:numId w:val="2"/>
        </w:numPr>
        <w:spacing w:after="60" w:before="40"/>
      </w:pPr>
      <w:r>
        <w:rPr>
          <w:rFonts w:ascii="Arial" w:cs="Arial" w:eastAsia="Arial" w:hAnsi="Arial"/>
          <w:color w:val="2C2C2C"/>
          <w:sz w:val="20"/>
          <w:szCs w:val="20"/>
        </w:rPr>
        <w:t xml:space="preserve">Paradigm logo displays correctly on desktop and mobile</w:t>
      </w:r>
    </w:p>
    <w:p>
      <w:pPr>
        <w:pStyle w:val="ListParagraph"/>
        <w:numPr>
          <w:ilvl w:val="0"/>
          <w:numId w:val="2"/>
        </w:numPr>
        <w:spacing w:after="60" w:before="40"/>
      </w:pPr>
      <w:r>
        <w:rPr>
          <w:rFonts w:ascii="Arial" w:cs="Arial" w:eastAsia="Arial" w:hAnsi="Arial"/>
          <w:color w:val="2C2C2C"/>
          <w:sz w:val="20"/>
          <w:szCs w:val="20"/>
        </w:rPr>
        <w:t xml:space="preserve">Proof point sentence matches approved wording exactly on every page it appears</w:t>
      </w:r>
    </w:p>
    <w:p>
      <w:pPr>
        <w:pStyle w:val="ListParagraph"/>
        <w:numPr>
          <w:ilvl w:val="0"/>
          <w:numId w:val="2"/>
        </w:numPr>
        <w:spacing w:after="60" w:before="40"/>
      </w:pPr>
      <w:r>
        <w:rPr>
          <w:rFonts w:ascii="Arial" w:cs="Arial" w:eastAsia="Arial" w:hAnsi="Arial"/>
          <w:color w:val="2C2C2C"/>
          <w:sz w:val="20"/>
          <w:szCs w:val="20"/>
        </w:rPr>
        <w:t xml:space="preserve">No PaaS Invest branding appears anywhere on paradigmasset.com</w:t>
      </w:r>
    </w:p>
    <w:p>
      <w:pPr>
        <w:pStyle w:val="ListParagraph"/>
        <w:numPr>
          <w:ilvl w:val="0"/>
          <w:numId w:val="2"/>
        </w:numPr>
        <w:spacing w:after="60" w:before="40"/>
      </w:pPr>
      <w:r>
        <w:rPr>
          <w:rFonts w:ascii="Arial" w:cs="Arial" w:eastAsia="Arial" w:hAnsi="Arial"/>
          <w:color w:val="2C2C2C"/>
          <w:sz w:val="20"/>
          <w:szCs w:val="20"/>
        </w:rPr>
        <w:t xml:space="preserve">paasinvest.com redirects cleanly with no broken links or error pages</w:t>
      </w:r>
    </w:p>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A7B3A" w:sz="10"/>
              <w:left w:val="none" w:color="FFFFFF" w:sz="0"/>
              <w:bottom w:val="single" w:color="9A7B3A" w:sz="10"/>
              <w:right w:val="none" w:color="FFFFFF" w:sz="0"/>
            </w:tcBorders>
            <w:shd w:fill="1B2A4A" w:val="clear"/>
            <w:tcMar>
              <w:top w:type="dxa" w:w="240"/>
              <w:left w:type="dxa" w:w="400"/>
              <w:bottom w:type="dxa" w:w="240"/>
              <w:right w:type="dxa" w:w="400"/>
            </w:tcMar>
          </w:tcPr>
          <w:p>
            <w:pPr>
              <w:spacing w:after="100" w:before="0"/>
              <w:jc w:val="center"/>
            </w:pPr>
            <w:r>
              <w:rPr>
                <w:rFonts w:ascii="Arial" w:cs="Arial" w:eastAsia="Arial" w:hAnsi="Arial"/>
                <w:b/>
                <w:bCs/>
                <w:color w:val="FFFFFF"/>
                <w:sz w:val="22"/>
                <w:szCs w:val="22"/>
              </w:rPr>
              <w:t xml:space="preserve">Build the copy first. Build the components second. Assemble the pages third.</w:t>
            </w:r>
          </w:p>
          <w:p>
            <w:pPr>
              <w:spacing w:after="0" w:before="0"/>
              <w:jc w:val="center"/>
            </w:pPr>
            <w:r>
              <w:rPr>
                <w:rFonts w:ascii="Arial" w:cs="Arial" w:eastAsia="Arial" w:hAnsi="Arial"/>
                <w:color w:val="BBBBBB"/>
                <w:sz w:val="18"/>
                <w:szCs w:val="18"/>
              </w:rPr>
              <w:t xml:space="preserve">The site that launches must tell the same story as the emails that drove the traffic there.</w:t>
            </w:r>
          </w:p>
        </w:tc>
      </w:tr>
    </w:tbl>
    <w:p>
      <w:pPr>
        <w:spacing w:after="0" w:before="280"/>
      </w:pPr>
      <w:r>
        <w:t xml:space="preserve"/>
      </w:r>
    </w:p>
    <w:p>
      <w:pPr>
        <w:spacing w:after="0" w:before="0"/>
        <w:jc w:val="center"/>
      </w:pPr>
      <w:r>
        <w:rPr>
          <w:rFonts w:ascii="Arial" w:cs="Arial" w:eastAsia="Arial" w:hAnsi="Arial"/>
          <w:color w:val="999999"/>
          <w:sz w:val="15"/>
          <w:szCs w:val="15"/>
        </w:rPr>
        <w:t xml:space="preserve">Paradigm Asset Management  ·  Website Rebuild Brief  ·  May 2026  ·  Confidential</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6D0C4" w:sz="2" w:space="1"/>
      </w:pBdr>
      <w:tabs>
        <w:tab w:val="right" w:pos="9026"/>
      </w:tabs>
      <w:spacing w:before="120"/>
    </w:pPr>
    <w:r>
      <w:rPr>
        <w:rFonts w:ascii="Arial" w:cs="Arial" w:eastAsia="Arial" w:hAnsi="Arial"/>
        <w:color w:val="999999"/>
        <w:sz w:val="14"/>
        <w:szCs w:val="14"/>
      </w:rPr>
      <w:t xml:space="preserve">Paradigm Asset Management  ·  Website Rebuild Brief  ·  May 2026</w:t>
    </w:r>
    <w:r>
      <w:rPr>
        <w:rFonts w:ascii="Arial" w:cs="Arial" w:eastAsia="Arial" w:hAnsi="Arial"/>
      </w:rPr>
      <w:t xml:space="preserve">	</w:t>
    </w:r>
    <w:r>
      <w:rPr>
        <w:rFonts w:ascii="Arial" w:cs="Arial" w:eastAsia="Arial" w:hAnsi="Arial"/>
        <w:color w:val="999999"/>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9A7B3A" w:sz="4" w:space="1"/>
      </w:pBdr>
      <w:tabs>
        <w:tab w:val="right" w:pos="9026"/>
      </w:tabs>
      <w:spacing w:after="0"/>
    </w:pPr>
    <w:r>
      <w:rPr>
        <w:rFonts w:ascii="Arial" w:cs="Arial" w:eastAsia="Arial" w:hAnsi="Arial"/>
        <w:b/>
        <w:bCs/>
        <w:color w:val="1B2A4A"/>
        <w:sz w:val="16"/>
        <w:szCs w:val="16"/>
      </w:rPr>
      <w:t xml:space="preserve">PARADIGM ASSET MANAGEMENT  </w:t>
    </w:r>
    <w:r>
      <w:rPr>
        <w:rFonts w:ascii="Arial" w:cs="Arial" w:eastAsia="Arial" w:hAnsi="Arial"/>
        <w:color w:val="C4A25B"/>
        <w:sz w:val="16"/>
        <w:szCs w:val="16"/>
      </w:rPr>
      <w:t xml:space="preserve">|  Website Rebuild · Architecture &amp; Developer Brief</w:t>
    </w:r>
    <w:r>
      <w:rPr>
        <w:rFonts w:ascii="Arial" w:cs="Arial" w:eastAsia="Arial" w:hAnsi="Arial"/>
      </w:rPr>
      <w:t xml:space="preserve">	</w:t>
    </w:r>
    <w:r>
      <w:rPr>
        <w:rFonts w:ascii="Arial" w:cs="Arial" w:eastAsia="Arial" w:hAnsi="Arial"/>
        <w:color w:val="999999"/>
        <w:sz w:val="14"/>
        <w:szCs w:val="14"/>
      </w:rPr>
      <w:t xml:space="preserve">MAY 2026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20" w:hanging="260"/>
      </w:pPr>
    </w:lvl>
    <w:lvl w:ilvl="1" w15:tentative="1">
      <w:start w:val="1"/>
      <w:numFmt w:val="bullet"/>
      <w:lvlText w:val="◦"/>
      <w:lvlJc w:val="left"/>
      <w:pPr>
        <w:ind w:left="9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C2C2C"/>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2">
    <w:name w:val="Heading 2"/>
    <w:basedOn w:val="Normal"/>
    <w:next w:val="Normal"/>
    <w:qFormat/>
    <w:pPr>
      <w:spacing w:after="100" w:before="320"/>
      <w:outlineLvl w:val="1"/>
    </w:pPr>
    <w:rPr>
      <w:rFonts w:ascii="Arial" w:cs="Arial" w:eastAsia="Arial" w:hAnsi="Arial"/>
      <w:b/>
      <w:bCs/>
      <w:color w:val="1B2A4A"/>
      <w:sz w:val="28"/>
      <w:szCs w:val="28"/>
    </w:rPr>
  </w:style>
  <w:style w:type="paragraph" w:styleId="Heading3">
    <w:name w:val="Heading 3"/>
    <w:basedOn w:val="Normal"/>
    <w:next w:val="Normal"/>
    <w:qFormat/>
    <w:pPr>
      <w:spacing w:after="80" w:before="200"/>
      <w:outlineLvl w:val="2"/>
    </w:pPr>
    <w:rPr>
      <w:rFonts w:ascii="Arial" w:cs="Arial" w:eastAsia="Arial" w:hAnsi="Arial"/>
      <w:b/>
      <w:bCs/>
      <w:color w:val="2C2C2C"/>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2026-05-10T02:33:44.768Z</dcterms:created>
  <dcterms:modified xsi:type="dcterms:W3CDTF">2026-05-10T02:33:44.768Z</dcterms:modified>
</cp:coreProperties>
</file>

<file path=docProps/custom.xml><?xml version="1.0" encoding="utf-8"?>
<Properties xmlns="http://schemas.openxmlformats.org/officeDocument/2006/custom-properties" xmlns:vt="http://schemas.openxmlformats.org/officeDocument/2006/docPropsVTypes"/>
</file>