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480"/>
              <w:left w:type="dxa" w:w="480"/>
              <w:bottom w:type="dxa" w:w="480"/>
              <w:right w:type="dxa" w:w="480"/>
            </w:tcMar>
          </w:tcPr>
          <w:p>
            <w:pPr>
              <w:spacing w:after="160" w:before="0"/>
            </w:pPr>
            <w:r>
              <w:rPr>
                <w:rFonts w:ascii="Arial" w:cs="Arial" w:eastAsia="Arial" w:hAnsi="Arial"/>
                <w:b/>
                <w:bCs/>
                <w:color w:val="C4A25B"/>
                <w:spacing w:val="80"/>
                <w:sz w:val="18"/>
                <w:szCs w:val="18"/>
              </w:rPr>
              <w:t xml:space="preserve">PARADIGM ASSET MANAGEMENT</w:t>
            </w:r>
          </w:p>
          <w:p>
            <w:pPr>
              <w:spacing w:after="60" w:before="0"/>
            </w:pPr>
            <w:r>
              <w:rPr>
                <w:rFonts w:ascii="Arial" w:cs="Arial" w:eastAsia="Arial" w:hAnsi="Arial"/>
                <w:b/>
                <w:bCs/>
                <w:color w:val="FFFFFF"/>
                <w:sz w:val="48"/>
                <w:szCs w:val="48"/>
              </w:rPr>
              <w:t xml:space="preserve">Website Copy · Phase 1</w:t>
            </w:r>
          </w:p>
          <w:p>
            <w:pPr>
              <w:spacing w:after="360" w:before="0"/>
            </w:pPr>
            <w:r>
              <w:rPr>
                <w:rFonts w:ascii="Arial" w:cs="Arial" w:eastAsia="Arial" w:hAnsi="Arial"/>
                <w:color w:val="DDDDDD"/>
                <w:sz w:val="22"/>
                <w:szCs w:val="22"/>
              </w:rPr>
              <w:t xml:space="preserve">Version 7  ·  Final  ·  May 2026</w:t>
            </w:r>
          </w:p>
          <w:p>
            <w:pPr>
              <w:spacing w:after="240" w:before="0"/>
            </w:pPr>
            <w:r>
              <w:rPr>
                <w:rFonts w:ascii="Arial" w:cs="Arial" w:eastAsia="Arial" w:hAnsi="Arial"/>
                <w:color w:val="C4A25B"/>
                <w:sz w:val="28"/>
                <w:szCs w:val="28"/>
              </w:rPr>
              <w:t xml:space="preserve">—</w:t>
            </w:r>
          </w:p>
          <w:p>
            <w:pPr>
              <w:spacing w:after="60" w:before="0"/>
            </w:pPr>
            <w:r>
              <w:rPr>
                <w:rFonts w:ascii="Arial" w:cs="Arial" w:eastAsia="Arial" w:hAnsi="Arial"/>
                <w:color w:val="AAAAAA"/>
                <w:sz w:val="18"/>
                <w:szCs w:val="18"/>
              </w:rPr>
              <w:t xml:space="preserve">Home Page and For Advisors Page.</w:t>
            </w:r>
          </w:p>
          <w:p>
            <w:pPr>
              <w:spacing w:after="60" w:before="0"/>
            </w:pPr>
            <w:r>
              <w:rPr>
                <w:rFonts w:ascii="Arial" w:cs="Arial" w:eastAsia="Arial" w:hAnsi="Arial"/>
                <w:color w:val="AAAAAA"/>
                <w:sz w:val="18"/>
                <w:szCs w:val="18"/>
              </w:rPr>
              <w:t xml:space="preserve">For Advisors is self-contained. Works for a visitor with no prior context.</w:t>
            </w:r>
          </w:p>
          <w:p>
            <w:pPr>
              <w:spacing w:after="0" w:before="0"/>
            </w:pPr>
            <w:r>
              <w:rPr>
                <w:rFonts w:ascii="Arial" w:cs="Arial" w:eastAsia="Arial" w:hAnsi="Arial"/>
                <w:color w:val="AAAAAA"/>
                <w:sz w:val="18"/>
                <w:szCs w:val="18"/>
              </w:rPr>
              <w:t xml:space="preserve">Approve and return. Developer builds to the approved version.</w:t>
            </w:r>
          </w:p>
        </w:tc>
      </w:tr>
    </w:tbl>
    <w:p>
      <w:pPr>
        <w:spacing w:after="0" w:befor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200"/>
              <w:left w:type="dxa" w:w="360"/>
              <w:bottom w:type="dxa" w:w="200"/>
              <w:right w:type="dxa" w:w="360"/>
            </w:tcMar>
          </w:tcPr>
          <w:p>
            <w:pPr>
              <w:spacing w:after="80" w:before="0"/>
            </w:pPr>
            <w:r>
              <w:rPr>
                <w:rFonts w:ascii="Arial" w:cs="Arial" w:eastAsia="Arial" w:hAnsi="Arial"/>
                <w:b/>
                <w:bCs/>
                <w:color w:val="C4A25B"/>
                <w:spacing w:val="80"/>
                <w:sz w:val="16"/>
                <w:szCs w:val="16"/>
              </w:rPr>
              <w:t xml:space="preserve">PAGE 01</w:t>
            </w:r>
          </w:p>
          <w:p>
            <w:pPr>
              <w:spacing w:after="80" w:before="0"/>
            </w:pPr>
            <w:r>
              <w:rPr>
                <w:rFonts w:ascii="Arial" w:cs="Arial" w:eastAsia="Arial" w:hAnsi="Arial"/>
                <w:b/>
                <w:bCs/>
                <w:color w:val="FFFFFF"/>
                <w:sz w:val="36"/>
                <w:szCs w:val="36"/>
              </w:rPr>
              <w:t xml:space="preserve">Home</w:t>
            </w:r>
          </w:p>
          <w:p>
            <w:pPr>
              <w:spacing w:after="0" w:before="0"/>
            </w:pPr>
            <w:r>
              <w:rPr>
                <w:rFonts w:ascii="Arial" w:cs="Arial" w:eastAsia="Arial" w:hAnsi="Arial"/>
                <w:color w:val="BBBBBB"/>
                <w:sz w:val="18"/>
                <w:szCs w:val="18"/>
              </w:rPr>
              <w:t xml:space="preserve">paradigmasset.com</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Hero</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H1</w:t>
            </w:r>
          </w:p>
          <w:p>
            <w:pPr>
              <w:spacing w:after="0" w:before="0"/>
            </w:pPr>
            <w:r>
              <w:rPr>
                <w:rFonts w:ascii="Arial" w:cs="Arial" w:eastAsia="Arial" w:hAnsi="Arial"/>
                <w:color w:val="2C2C2C"/>
                <w:sz w:val="20"/>
                <w:szCs w:val="20"/>
              </w:rPr>
              <w:t xml:space="preserve">The collective intelligence of the market.
Built into every portfolio.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SUBHEADING</w:t>
            </w:r>
          </w:p>
          <w:p>
            <w:pPr>
              <w:spacing w:after="80" w:before="0"/>
            </w:pPr>
            <w:r>
              <w:rPr>
                <w:rFonts w:ascii="Arial" w:cs="Arial" w:eastAsia="Arial" w:hAnsi="Arial"/>
                <w:color w:val="2C2C2C"/>
                <w:sz w:val="20"/>
                <w:szCs w:val="20"/>
              </w:rPr>
              <w:t xml:space="preserve">Paradigm identifies where market leadership is forming — right now, within each mandate — and builds portfolios that reflect it. Portfolios that can move as leadership moves.</w:t>
            </w:r>
          </w:p>
          <w:p>
            <w:pPr>
              <w:spacing w:after="0" w:before="0"/>
            </w:pPr>
            <w:r>
              <w:rPr>
                <w:rFonts w:ascii="Arial" w:cs="Arial" w:eastAsia="Arial" w:hAnsi="Arial"/>
                <w:color w:val="637890"/>
                <w:sz w:val="17"/>
                <w:szCs w:val="17"/>
              </w:rPr>
              <w:t xml:space="preserve">▶  One sentence. Works for advisors and institutions simultaneously. Does not promise performance. Earns the first scroll.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CTAS</w:t>
            </w:r>
          </w:p>
          <w:p>
            <w:pPr>
              <w:spacing w:after="80" w:before="0"/>
            </w:pPr>
            <w:r>
              <w:rPr>
                <w:rFonts w:ascii="Arial" w:cs="Arial" w:eastAsia="Arial" w:hAnsi="Arial"/>
                <w:color w:val="2C2C2C"/>
                <w:sz w:val="20"/>
                <w:szCs w:val="20"/>
              </w:rPr>
              <w:t xml:space="preserve">For Advisors  →     For Family Offices  →     For Institutions  →</w:t>
            </w:r>
          </w:p>
          <w:p>
            <w:pPr>
              <w:spacing w:after="0" w:before="0"/>
            </w:pPr>
            <w:r>
              <w:rPr>
                <w:rFonts w:ascii="Arial" w:cs="Arial" w:eastAsia="Arial" w:hAnsi="Arial"/>
                <w:color w:val="637890"/>
                <w:sz w:val="17"/>
                <w:szCs w:val="17"/>
              </w:rPr>
              <w:t xml:space="preserve">▶  Three CTAs. First: gold fill (primary). Second: navy fill (secondary). Third: navy outline (tertiary). Single row desktop, stacked mobile.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Full-width navy background #34416D. Reversed logo. Large serif display type for H1.</w:t>
            </w:r>
          </w:p>
          <w:p>
            <w:pPr>
              <w:spacing w:after="30" w:before="0"/>
            </w:pPr>
            <w:r>
              <w:rPr>
                <w:rFonts w:ascii="Arial" w:cs="Arial" w:eastAsia="Arial" w:hAnsi="Arial"/>
                <w:color w:val="2C2C2C"/>
                <w:sz w:val="18"/>
                <w:szCs w:val="18"/>
              </w:rPr>
              <w:t xml:space="preserve">H1 breaks across two lines as written. Each line has equal visual weight.</w:t>
            </w:r>
          </w:p>
          <w:p>
            <w:pPr>
              <w:spacing w:after="30" w:before="0"/>
            </w:pPr>
            <w:r>
              <w:rPr>
                <w:rFonts w:ascii="Arial" w:cs="Arial" w:eastAsia="Arial" w:hAnsi="Arial"/>
                <w:color w:val="2C2C2C"/>
                <w:sz w:val="18"/>
                <w:szCs w:val="18"/>
              </w:rPr>
              <w:t xml:space="preserve">Subheading: 18px, 70% white opacity, max-width 640px centered.</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Trust Strip</w:t>
            </w:r>
          </w:p>
        </w:tc>
      </w:tr>
    </w:tbl>
    <w:p>
      <w:pPr>
        <w:spacing w:after="0" w:before="140"/>
      </w:pPr>
      <w:r>
        <w:t xml:space="preserve"/>
      </w:r>
    </w:p>
    <w:p>
      <w:pPr>
        <w:spacing w:after="120" w:before="0"/>
      </w:pPr>
      <w:r>
        <w:rPr>
          <w:rFonts w:ascii="Arial" w:cs="Arial" w:eastAsia="Arial" w:hAnsi="Arial"/>
          <w:b w:val="false"/>
          <w:bCs w:val="false"/>
          <w:color w:val="637890"/>
          <w:sz w:val="18"/>
          <w:szCs w:val="18"/>
        </w:rPr>
        <w:t xml:space="preserve">Sits directly below the hero fold. Warm off-white background #F5F3EF. Numbers in Paradigm Dark Blue. Descriptors in Blue Grey.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after="40" w:before="0"/>
              <w:jc w:val="center"/>
            </w:pPr>
            <w:r>
              <w:rPr>
                <w:rFonts w:ascii="Arial" w:cs="Arial" w:eastAsia="Arial" w:hAnsi="Arial"/>
                <w:b/>
                <w:bCs/>
                <w:color w:val="34416D"/>
                <w:sz w:val="22"/>
                <w:szCs w:val="22"/>
              </w:rPr>
              <w:t xml:space="preserve">35 Years</w:t>
            </w:r>
          </w:p>
          <w:p>
            <w:pPr>
              <w:spacing w:after="0" w:before="0"/>
              <w:jc w:val="center"/>
            </w:pPr>
            <w:r>
              <w:rPr>
                <w:rFonts w:ascii="Arial" w:cs="Arial" w:eastAsia="Arial" w:hAnsi="Arial"/>
                <w:color w:val="637890"/>
                <w:sz w:val="15"/>
                <w:szCs w:val="15"/>
              </w:rPr>
              <w:t xml:space="preserve">Founded 1990</w:t>
            </w:r>
          </w:p>
        </w:tc>
        <w:tc>
          <w:tcPr>
            <w:tcBorders>
              <w:top w:val="none" w:color="FFFFFF" w:sz="0"/>
              <w:left w:val="single" w:color="CCCCCC" w:sz="1"/>
              <w:bottom w:val="none" w:color="FFFFFF" w:sz="0"/>
              <w:right w:val="none" w:color="FFFFFF" w:sz="0"/>
            </w:tcBorders>
            <w:shd w:fill="FFFFFF" w:val="clear"/>
            <w:tcMar>
              <w:top w:type="dxa" w:w="100"/>
              <w:left w:type="dxa" w:w="120"/>
              <w:bottom w:type="dxa" w:w="100"/>
              <w:right w:type="dxa" w:w="120"/>
            </w:tcMar>
          </w:tcPr>
          <w:p>
            <w:pPr>
              <w:spacing w:after="40" w:before="0"/>
              <w:jc w:val="center"/>
            </w:pPr>
            <w:r>
              <w:rPr>
                <w:rFonts w:ascii="Arial" w:cs="Arial" w:eastAsia="Arial" w:hAnsi="Arial"/>
                <w:b/>
                <w:bCs/>
                <w:color w:val="34416D"/>
                <w:sz w:val="22"/>
                <w:szCs w:val="22"/>
              </w:rPr>
              <w:t xml:space="preserve">65 of the top 100</w:t>
            </w:r>
          </w:p>
          <w:p>
            <w:pPr>
              <w:spacing w:after="0" w:before="0"/>
              <w:jc w:val="center"/>
            </w:pPr>
            <w:r>
              <w:rPr>
                <w:rFonts w:ascii="Arial" w:cs="Arial" w:eastAsia="Arial" w:hAnsi="Arial"/>
                <w:color w:val="637890"/>
                <w:sz w:val="15"/>
                <w:szCs w:val="15"/>
              </w:rPr>
              <w:t xml:space="preserve">US pension funds served</w:t>
            </w:r>
          </w:p>
        </w:tc>
        <w:tc>
          <w:tcPr>
            <w:tcBorders>
              <w:top w:val="none" w:color="FFFFFF" w:sz="0"/>
              <w:left w:val="single" w:color="CCCCCC" w:sz="1"/>
              <w:bottom w:val="none" w:color="FFFFFF" w:sz="0"/>
              <w:right w:val="none" w:color="FFFFFF" w:sz="0"/>
            </w:tcBorders>
            <w:shd w:fill="FFFFFF" w:val="clear"/>
            <w:tcMar>
              <w:top w:type="dxa" w:w="100"/>
              <w:left w:type="dxa" w:w="120"/>
              <w:bottom w:type="dxa" w:w="100"/>
              <w:right w:type="dxa" w:w="120"/>
            </w:tcMar>
          </w:tcPr>
          <w:p>
            <w:pPr>
              <w:spacing w:after="40" w:before="0"/>
              <w:jc w:val="center"/>
            </w:pPr>
            <w:r>
              <w:rPr>
                <w:rFonts w:ascii="Arial" w:cs="Arial" w:eastAsia="Arial" w:hAnsi="Arial"/>
                <w:b/>
                <w:bCs/>
                <w:color w:val="34416D"/>
                <w:sz w:val="22"/>
                <w:szCs w:val="22"/>
              </w:rPr>
              <w:t xml:space="preserve">45,000+</w:t>
            </w:r>
          </w:p>
          <w:p>
            <w:pPr>
              <w:spacing w:after="0" w:before="0"/>
              <w:jc w:val="center"/>
            </w:pPr>
            <w:r>
              <w:rPr>
                <w:rFonts w:ascii="Arial" w:cs="Arial" w:eastAsia="Arial" w:hAnsi="Arial"/>
                <w:color w:val="637890"/>
                <w:sz w:val="15"/>
                <w:szCs w:val="15"/>
              </w:rPr>
              <w:t xml:space="preserve">Securities covered</w:t>
            </w:r>
          </w:p>
        </w:tc>
        <w:tc>
          <w:tcPr>
            <w:tcBorders>
              <w:top w:val="none" w:color="FFFFFF" w:sz="0"/>
              <w:left w:val="single" w:color="CCCCCC" w:sz="1"/>
              <w:bottom w:val="none" w:color="FFFFFF" w:sz="0"/>
              <w:right w:val="none" w:color="FFFFFF" w:sz="0"/>
            </w:tcBorders>
            <w:shd w:fill="FFFFFF" w:val="clear"/>
            <w:tcMar>
              <w:top w:type="dxa" w:w="100"/>
              <w:left w:type="dxa" w:w="120"/>
              <w:bottom w:type="dxa" w:w="100"/>
              <w:right w:type="dxa" w:w="120"/>
            </w:tcMar>
          </w:tcPr>
          <w:p>
            <w:pPr>
              <w:spacing w:after="40" w:before="0"/>
              <w:jc w:val="center"/>
            </w:pPr>
            <w:r>
              <w:rPr>
                <w:rFonts w:ascii="Arial" w:cs="Arial" w:eastAsia="Arial" w:hAnsi="Arial"/>
                <w:b/>
                <w:bCs/>
                <w:color w:val="34416D"/>
                <w:sz w:val="22"/>
                <w:szCs w:val="22"/>
              </w:rPr>
              <w:t xml:space="preserve">75</w:t>
            </w:r>
          </w:p>
          <w:p>
            <w:pPr>
              <w:spacing w:after="0" w:before="0"/>
              <w:jc w:val="center"/>
            </w:pPr>
            <w:r>
              <w:rPr>
                <w:rFonts w:ascii="Arial" w:cs="Arial" w:eastAsia="Arial" w:hAnsi="Arial"/>
                <w:color w:val="637890"/>
                <w:sz w:val="15"/>
                <w:szCs w:val="15"/>
              </w:rPr>
              <w:t xml:space="preserve">Global markets</w:t>
            </w:r>
          </w:p>
        </w:tc>
        <w:tc>
          <w:tcPr>
            <w:tcBorders>
              <w:top w:val="none" w:color="FFFFFF" w:sz="0"/>
              <w:left w:val="single" w:color="CCCCCC" w:sz="1"/>
              <w:bottom w:val="none" w:color="FFFFFF" w:sz="0"/>
              <w:right w:val="none" w:color="FFFFFF" w:sz="0"/>
            </w:tcBorders>
            <w:shd w:fill="FFFFFF" w:val="clear"/>
            <w:tcMar>
              <w:top w:type="dxa" w:w="100"/>
              <w:left w:type="dxa" w:w="120"/>
              <w:bottom w:type="dxa" w:w="100"/>
              <w:right w:type="dxa" w:w="120"/>
            </w:tcMar>
          </w:tcPr>
          <w:p>
            <w:pPr>
              <w:spacing w:after="40" w:before="0"/>
              <w:jc w:val="center"/>
            </w:pPr>
            <w:r>
              <w:rPr>
                <w:rFonts w:ascii="Arial" w:cs="Arial" w:eastAsia="Arial" w:hAnsi="Arial"/>
                <w:b/>
                <w:bCs/>
                <w:color w:val="34416D"/>
                <w:sz w:val="22"/>
                <w:szCs w:val="22"/>
              </w:rPr>
              <w:t xml:space="preserve">20,000+</w:t>
            </w:r>
          </w:p>
          <w:p>
            <w:pPr>
              <w:spacing w:after="0" w:before="0"/>
              <w:jc w:val="center"/>
            </w:pPr>
            <w:r>
              <w:rPr>
                <w:rFonts w:ascii="Arial" w:cs="Arial" w:eastAsia="Arial" w:hAnsi="Arial"/>
                <w:color w:val="637890"/>
                <w:sz w:val="15"/>
                <w:szCs w:val="15"/>
              </w:rPr>
              <w:t xml:space="preserve">Active strategies tracked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Five columns on desktop. 3+2 grid on mobile. Named clients removed from trust strip — they appear in the proof block below. Numbers only here.</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What We See</w:t>
            </w:r>
          </w:p>
        </w:tc>
      </w:tr>
    </w:tbl>
    <w:p>
      <w:pPr>
        <w:spacing w:after="0" w:before="140"/>
      </w:pPr>
      <w:r>
        <w:t xml:space="preserve"/>
      </w:r>
    </w:p>
    <w:p>
      <w:pPr>
        <w:spacing w:after="160" w:before="0"/>
      </w:pPr>
      <w:r>
        <w:rPr>
          <w:rFonts w:ascii="Arial" w:cs="Arial" w:eastAsia="Arial" w:hAnsi="Arial"/>
          <w:b w:val="false"/>
          <w:bCs w:val="false"/>
          <w:color w:val="637890"/>
          <w:sz w:val="17"/>
          <w:szCs w:val="17"/>
        </w:rPr>
        <w:t xml:space="preserve">Three observations. Thirty-five years. The foundation behind every portfolio Paradigm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120" w:before="0"/>
            </w:pPr>
            <w:r>
              <w:rPr>
                <w:rFonts w:ascii="Arial" w:cs="Arial" w:eastAsia="Arial" w:hAnsi="Arial"/>
                <w:b/>
                <w:bCs/>
                <w:color w:val="C4A25B"/>
                <w:spacing w:val="80"/>
                <w:sz w:val="15"/>
                <w:szCs w:val="15"/>
              </w:rPr>
              <w:t xml:space="preserve">01</w:t>
            </w:r>
          </w:p>
          <w:p>
            <w:pPr>
              <w:spacing w:after="260" w:before="0"/>
            </w:pPr>
            <w:r>
              <w:rPr>
                <w:rFonts w:ascii="Arial" w:cs="Arial" w:eastAsia="Arial" w:hAnsi="Arial"/>
                <w:color w:val="2C2C2C"/>
                <w:sz w:val="19"/>
                <w:szCs w:val="19"/>
              </w:rPr>
              <w:t xml:space="preserve">No single mind sees everything the market knows. No single dataset captures everything experts observe. No single system processes both at scale. Dynamic Collective Intelligence is what emerges when human expertise, vast market data, and computing power are combined systematically — a new intelligence that surpasses any individual component.</w:t>
            </w:r>
          </w:p>
          <w:p>
            <w:pPr>
              <w:spacing w:after="120" w:before="0"/>
            </w:pPr>
            <w:r>
              <w:rPr>
                <w:rFonts w:ascii="Arial" w:cs="Arial" w:eastAsia="Arial" w:hAnsi="Arial"/>
                <w:b/>
                <w:bCs/>
                <w:color w:val="C4A25B"/>
                <w:spacing w:val="80"/>
                <w:sz w:val="15"/>
                <w:szCs w:val="15"/>
              </w:rPr>
              <w:t xml:space="preserve">02</w:t>
            </w:r>
          </w:p>
          <w:p>
            <w:pPr>
              <w:spacing w:after="260" w:before="0"/>
            </w:pPr>
            <w:r>
              <w:rPr>
                <w:rFonts w:ascii="Arial" w:cs="Arial" w:eastAsia="Arial" w:hAnsi="Arial"/>
                <w:color w:val="2C2C2C"/>
                <w:sz w:val="19"/>
                <w:szCs w:val="19"/>
              </w:rPr>
              <w:t xml:space="preserve">Every specialist performs well when market conditions align with their expertise — and faces headwinds when they shift. This is not a failure of skill. It is the inherent structure of specialization. When leadership moves away from a strategy’s domain, the strategy waits. So do its clients.</w:t>
            </w:r>
          </w:p>
          <w:p>
            <w:pPr>
              <w:spacing w:after="120" w:before="0"/>
            </w:pPr>
            <w:r>
              <w:rPr>
                <w:rFonts w:ascii="Arial" w:cs="Arial" w:eastAsia="Arial" w:hAnsi="Arial"/>
                <w:b/>
                <w:bCs/>
                <w:color w:val="C4A25B"/>
                <w:spacing w:val="80"/>
                <w:sz w:val="15"/>
                <w:szCs w:val="15"/>
              </w:rPr>
              <w:t xml:space="preserve">03</w:t>
            </w:r>
          </w:p>
          <w:p>
            <w:pPr>
              <w:spacing w:after="0" w:before="0"/>
            </w:pPr>
            <w:r>
              <w:rPr>
                <w:rFonts w:ascii="Arial" w:cs="Arial" w:eastAsia="Arial" w:hAnsi="Arial"/>
                <w:color w:val="2C2C2C"/>
                <w:sz w:val="19"/>
                <w:szCs w:val="19"/>
              </w:rPr>
              <w:t xml:space="preserve">Paradigm identifies where regime leadership is forming within each mandate and qualifies that signal through collective intelligence. The result is a Portfolio Blueprint — a portfolio built from the confirmed consensus of what the market is rewarding right now.</w:t>
            </w:r>
          </w:p>
        </w:tc>
        <w:tc>
          <w:tcPr>
            <w:tcW w:type="dxa" w:w="4160"/>
            <w:tcBorders>
              <w:top w:val="single" w:color="CCCCCC" w:sz="1"/>
              <w:left w:val="single" w:color="CCCCCC" w:sz="1"/>
              <w:bottom w:val="single" w:color="CCCCCC" w:sz="1"/>
              <w:right w:val="single" w:color="CCCCCC" w:sz="1"/>
            </w:tcBorders>
            <w:shd w:fill="F0EDE6" w:val="clear"/>
            <w:tcMar>
              <w:top w:type="dxa" w:w="200"/>
              <w:left w:type="dxa" w:w="200"/>
              <w:bottom w:type="dxa" w:w="200"/>
              <w:right w:type="dxa" w:w="200"/>
            </w:tcMar>
          </w:tcPr>
          <w:p>
            <w:pPr>
              <w:spacing w:after="60" w:before="0"/>
              <w:jc w:val="center"/>
            </w:pPr>
            <w:r>
              <w:rPr>
                <w:rFonts w:ascii="Arial" w:cs="Arial" w:eastAsia="Arial" w:hAnsi="Arial"/>
                <w:b/>
                <w:bCs/>
                <w:color w:val="637890"/>
                <w:spacing w:val="60"/>
                <w:sz w:val="13"/>
                <w:szCs w:val="13"/>
              </w:rPr>
              <w:t xml:space="preserve">ALL DATA</w:t>
            </w:r>
          </w:p>
          <w:p>
            <w:pPr>
              <w:spacing w:after="120" w:before="0"/>
              <w:jc w:val="center"/>
            </w:pPr>
            <w:r>
              <w:rPr>
                <w:rFonts w:ascii="Arial" w:cs="Arial" w:eastAsia="Arial" w:hAnsi="Arial"/>
                <w:color w:val="637890"/>
                <w:sz w:val="14"/>
                <w:szCs w:val="14"/>
              </w:rPr>
              <w:t xml:space="preserve">Active market data universe</w:t>
            </w:r>
          </w:p>
          <w:p>
            <w:pPr>
              <w:spacing w:after="120" w:before="0"/>
              <w:jc w:val="center"/>
            </w:pPr>
            <w:r>
              <w:rPr>
                <w:rFonts w:ascii="Arial" w:cs="Arial" w:eastAsia="Arial" w:hAnsi="Arial"/>
                <w:color w:val="C4A25B"/>
                <w:sz w:val="18"/>
                <w:szCs w:val="18"/>
              </w:rPr>
              <w:t xml:space="preserve">▼</w:t>
            </w:r>
          </w:p>
          <w:p>
            <w:pPr>
              <w:spacing w:after="60" w:before="0"/>
              <w:jc w:val="center"/>
            </w:pPr>
            <w:r>
              <w:rPr>
                <w:rFonts w:ascii="Arial" w:cs="Arial" w:eastAsia="Arial" w:hAnsi="Arial"/>
                <w:b/>
                <w:bCs/>
                <w:color w:val="34416D"/>
                <w:spacing w:val="60"/>
                <w:sz w:val="13"/>
                <w:szCs w:val="13"/>
              </w:rPr>
              <w:t xml:space="preserve">SOME DATA</w:t>
            </w:r>
          </w:p>
          <w:p>
            <w:pPr>
              <w:spacing w:after="120" w:before="0"/>
              <w:jc w:val="center"/>
            </w:pPr>
            <w:r>
              <w:rPr>
                <w:rFonts w:ascii="Arial" w:cs="Arial" w:eastAsia="Arial" w:hAnsi="Arial"/>
                <w:color w:val="637890"/>
                <w:sz w:val="14"/>
                <w:szCs w:val="14"/>
              </w:rPr>
              <w:t xml:space="preserve">Mandate-specific dataset</w:t>
            </w:r>
          </w:p>
          <w:p>
            <w:pPr>
              <w:spacing w:after="120" w:before="0"/>
              <w:jc w:val="center"/>
            </w:pPr>
            <w:r>
              <w:rPr>
                <w:rFonts w:ascii="Arial" w:cs="Arial" w:eastAsia="Arial" w:hAnsi="Arial"/>
                <w:color w:val="C4A25B"/>
                <w:sz w:val="18"/>
                <w:szCs w:val="18"/>
              </w:rPr>
              <w:t xml:space="preserve">▼</w:t>
            </w:r>
          </w:p>
          <w:p>
            <w:pPr>
              <w:spacing w:after="60" w:before="0"/>
              <w:jc w:val="center"/>
            </w:pPr>
            <w:r>
              <w:rPr>
                <w:rFonts w:ascii="Arial" w:cs="Arial" w:eastAsia="Arial" w:hAnsi="Arial"/>
                <w:b/>
                <w:bCs/>
                <w:color w:val="34416D"/>
                <w:spacing w:val="60"/>
                <w:sz w:val="13"/>
                <w:szCs w:val="13"/>
              </w:rPr>
              <w:t xml:space="preserve">SELECT DATA</w:t>
            </w:r>
          </w:p>
          <w:p>
            <w:pPr>
              <w:spacing w:after="120" w:before="0"/>
              <w:jc w:val="center"/>
            </w:pPr>
            <w:r>
              <w:rPr>
                <w:rFonts w:ascii="Arial" w:cs="Arial" w:eastAsia="Arial" w:hAnsi="Arial"/>
                <w:color w:val="637890"/>
                <w:sz w:val="14"/>
                <w:szCs w:val="14"/>
              </w:rPr>
              <w:t xml:space="preserve">Regime leadership cluster</w:t>
            </w:r>
          </w:p>
          <w:p>
            <w:pPr>
              <w:spacing w:after="120" w:before="0"/>
              <w:jc w:val="center"/>
            </w:pPr>
            <w:r>
              <w:rPr>
                <w:rFonts w:ascii="Arial" w:cs="Arial" w:eastAsia="Arial" w:hAnsi="Arial"/>
                <w:color w:val="C4A25B"/>
                <w:sz w:val="18"/>
                <w:szCs w:val="18"/>
              </w:rPr>
              <w:t xml:space="preserve">▼</w:t>
            </w:r>
          </w:p>
          <w:p>
            <w:pPr>
              <w:spacing w:after="60" w:before="0"/>
              <w:jc w:val="center"/>
            </w:pPr>
            <w:r>
              <w:rPr>
                <w:rFonts w:ascii="Arial" w:cs="Arial" w:eastAsia="Arial" w:hAnsi="Arial"/>
                <w:b/>
                <w:bCs/>
                <w:color w:val="C4A25B"/>
                <w:spacing w:val="60"/>
                <w:sz w:val="13"/>
                <w:szCs w:val="13"/>
              </w:rPr>
              <w:t xml:space="preserve">PORTFOLIO BLUEPRINT</w:t>
            </w:r>
          </w:p>
          <w:p>
            <w:pPr>
              <w:spacing w:after="0" w:before="0"/>
              <w:jc w:val="center"/>
            </w:pPr>
            <w:r>
              <w:rPr>
                <w:rFonts w:ascii="Arial" w:cs="Arial" w:eastAsia="Arial" w:hAnsi="Arial"/>
                <w:color w:val="637890"/>
                <w:sz w:val="14"/>
                <w:szCs w:val="14"/>
              </w:rPr>
              <w:t xml:space="preserve">The confirmed signal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Left column: three numbered belief statements. Gold numbers. Body text 18-19px, line height 1.75. Max-width 540px.</w:t>
            </w:r>
          </w:p>
          <w:p>
            <w:pPr>
              <w:spacing w:after="30" w:before="0"/>
            </w:pPr>
            <w:r>
              <w:rPr>
                <w:rFonts w:ascii="Arial" w:cs="Arial" w:eastAsia="Arial" w:hAnsi="Arial"/>
                <w:color w:val="2C2C2C"/>
                <w:sz w:val="18"/>
                <w:szCs w:val="18"/>
              </w:rPr>
              <w:t xml:space="preserve">Right column: animated concentric circle diagram. Three rings narrowing inward: All Data (outermost, faint), Some Data (middle), Select Data (inner), Portfolio Blueprint (center, gold). Animation triggers on scroll — outer rings fade as inner circle comes into focus. Paradigm Dark Blue and warm gold only. No gradients. No icons.</w:t>
            </w:r>
          </w:p>
          <w:p>
            <w:pPr>
              <w:spacing w:after="0" w:before="0"/>
            </w:pPr>
            <w:r>
              <w:rPr>
                <w:rFonts w:ascii="Arial" w:cs="Arial" w:eastAsia="Arial" w:hAnsi="Arial"/>
                <w:color w:val="2C2C2C"/>
                <w:sz w:val="18"/>
                <w:szCs w:val="18"/>
              </w:rPr>
              <w:t xml:space="preserve">The document version above is a schematic placeholder. The developer builds the animated SVG/Canvas version. The concept is from slide 7 of the PaaS September deck — adapt and animate rather than replicate literally.</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The Story — continuous prose, no headers</w:t>
            </w:r>
          </w:p>
        </w:tc>
      </w:tr>
    </w:tbl>
    <w:p>
      <w:pPr>
        <w:spacing w:after="0" w:before="140"/>
      </w:pPr>
      <w:r>
        <w:t xml:space="preserve"/>
      </w:r>
    </w:p>
    <w:p>
      <w:pPr>
        <w:spacing w:after="140" w:before="0"/>
      </w:pPr>
      <w:r>
        <w:rPr>
          <w:rFonts w:ascii="Arial" w:cs="Arial" w:eastAsia="Arial" w:hAnsi="Arial"/>
          <w:b w:val="false"/>
          <w:bCs w:val="false"/>
          <w:color w:val="2C2C2C"/>
          <w:sz w:val="20"/>
          <w:szCs w:val="20"/>
        </w:rPr>
        <w:t xml:space="preserve">Every active strategy operates within the boundaries of its expertise. A deep value manager knows deep value with precision built over years. A quality growth manager has a genuine edge in quality growth. That specialization is the source of their advantage — and the boundary they cannot cross without leaving behind what they actually know how to do.</w:t>
      </w:r>
    </w:p>
    <w:p>
      <w:pPr>
        <w:spacing w:after="140" w:before="0"/>
      </w:pPr>
      <w:r>
        <w:rPr>
          <w:rFonts w:ascii="Arial" w:cs="Arial" w:eastAsia="Arial" w:hAnsi="Arial"/>
          <w:b w:val="false"/>
          <w:bCs w:val="false"/>
          <w:color w:val="2C2C2C"/>
          <w:sz w:val="20"/>
          <w:szCs w:val="20"/>
        </w:rPr>
        <w:t xml:space="preserve">When market leadership moves outside those boundaries, the strategy lags. Not because of a mistake. Because following the rotation would mean operating outside the domain of genuine competence. Their clients wait for the cycle to return.</w:t>
      </w:r>
    </w:p>
    <w:p>
      <w:pPr>
        <w:spacing w:after="140" w:before="0"/>
      </w:pPr>
      <w:r>
        <w:rPr>
          <w:rFonts w:ascii="Arial" w:cs="Arial" w:eastAsia="Arial" w:hAnsi="Arial"/>
          <w:b w:val="false"/>
          <w:bCs w:val="false"/>
          <w:color w:val="2C2C2C"/>
          <w:sz w:val="20"/>
          <w:szCs w:val="20"/>
        </w:rPr>
        <w:t xml:space="preserve">Paradigm reads active market data to identify where leadership is forming within each mandate right now — and constructs portfolios from that signal. Not anchored to any single approach. Not waiting for a cycle to reverse.</w:t>
      </w:r>
    </w:p>
    <w:p>
      <w:pPr>
        <w:spacing w:after="140" w:before="0"/>
      </w:pPr>
      <w:r>
        <w:rPr>
          <w:rFonts w:ascii="Arial" w:cs="Arial" w:eastAsia="Arial" w:hAnsi="Arial"/>
          <w:b w:val="false"/>
          <w:bCs w:val="false"/>
          <w:color w:val="2C2C2C"/>
          <w:sz w:val="20"/>
          <w:szCs w:val="20"/>
        </w:rPr>
        <w:t xml:space="preserve">No single strategy can do this by definition. To follow the rotation, it would have to leave the domain of its own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Four paragraphs. No section headers between them. No bold phrases. Reads as continuous argument.</w:t>
            </w:r>
          </w:p>
          <w:p>
            <w:pPr>
              <w:spacing w:after="30" w:before="0"/>
            </w:pPr>
            <w:r>
              <w:rPr>
                <w:rFonts w:ascii="Arial" w:cs="Arial" w:eastAsia="Arial" w:hAnsi="Arial"/>
                <w:color w:val="2C2C2C"/>
                <w:sz w:val="18"/>
                <w:szCs w:val="18"/>
              </w:rPr>
              <w:t xml:space="preserve">Font: 18px serif or near-serif. Line height 1.8. Max-width 720px centered. White background.</w:t>
            </w:r>
          </w:p>
          <w:p>
            <w:pPr>
              <w:spacing w:after="30" w:before="0"/>
            </w:pPr>
            <w:r>
              <w:rPr>
                <w:rFonts w:ascii="Arial" w:cs="Arial" w:eastAsia="Arial" w:hAnsi="Arial"/>
                <w:color w:val="2C2C2C"/>
                <w:sz w:val="18"/>
                <w:szCs w:val="18"/>
              </w:rPr>
              <w:t xml:space="preserve">The word 'manager' does not appear. 'Strategy' and 'active market data' throughout. No technical jargon.</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The Platform</w:t>
            </w:r>
          </w:p>
        </w:tc>
      </w:tr>
    </w:tbl>
    <w:p>
      <w:pPr>
        <w:spacing w:after="0" w:before="140"/>
      </w:pPr>
      <w:r>
        <w:t xml:space="preserve"/>
      </w:r>
    </w:p>
    <w:p>
      <w:pPr>
        <w:spacing w:after="140" w:before="0"/>
      </w:pPr>
      <w:r>
        <w:rPr>
          <w:rFonts w:ascii="Arial" w:cs="Arial" w:eastAsia="Arial" w:hAnsi="Arial"/>
          <w:b w:val="false"/>
          <w:bCs w:val="false"/>
          <w:color w:val="2C2C2C"/>
          <w:sz w:val="20"/>
          <w:szCs w:val="20"/>
        </w:rPr>
        <w:t xml:space="preserve">Active management and direct indexing. One platform, fully integrated. Customization, personalization, and tax-loss harvesting run across both sleeves simultaneously — at the individual client level. Built for advisors and institutions who want the full capability without splitting it across two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Four sentences. No feature list. Consequence language — what the client experiences, not what the system does.</w:t>
            </w:r>
          </w:p>
          <w:p>
            <w:pPr>
              <w:spacing w:after="30" w:before="0"/>
            </w:pPr>
            <w:r>
              <w:rPr>
                <w:rFonts w:ascii="Arial" w:cs="Arial" w:eastAsia="Arial" w:hAnsi="Arial"/>
                <w:color w:val="2C2C2C"/>
                <w:sz w:val="18"/>
                <w:szCs w:val="18"/>
              </w:rPr>
              <w:t xml:space="preserve">This section sits on warm off-white. Consider a subtle two-column visual: active sleeve left, indexed sleeve right, connected by a single line. Minimal. No icons.</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Institutional Proof</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300"/>
              <w:left w:type="dxa" w:w="480"/>
              <w:bottom w:type="dxa" w:w="300"/>
              <w:right w:type="dxa" w:w="480"/>
            </w:tcMar>
          </w:tcPr>
          <w:p>
            <w:pPr>
              <w:spacing w:after="120" w:before="0"/>
              <w:jc w:val="center"/>
            </w:pPr>
            <w:r>
              <w:rPr>
                <w:rFonts w:ascii="Arial" w:cs="Arial" w:eastAsia="Arial" w:hAnsi="Arial"/>
                <w:b/>
                <w:bCs/>
                <w:color w:val="C4A25B"/>
                <w:sz w:val="15"/>
                <w:szCs w:val="15"/>
              </w:rPr>
              <w:t xml:space="preserve">PROVEN OVER 35 YEARS</w:t>
            </w:r>
          </w:p>
          <w:p>
            <w:pPr>
              <w:spacing w:after="120" w:before="0"/>
              <w:jc w:val="center"/>
            </w:pPr>
            <w:r>
              <w:rPr>
                <w:rFonts w:ascii="Arial" w:cs="Arial" w:eastAsia="Arial" w:hAnsi="Arial"/>
                <w:b w:val="false"/>
                <w:bCs w:val="false"/>
                <w:color w:val="DDDDDD"/>
                <w:sz w:val="20"/>
                <w:szCs w:val="20"/>
              </w:rPr>
              <w:t xml:space="preserve">Over 35 years Paradigm has worked with institutional clients including General Motors, AMEX, and the US Treasury. 65 of the nation’s top 100 US pension funds have worked with Paradigm.</w:t>
            </w:r>
          </w:p>
          <w:p>
            <w:pPr>
              <w:spacing w:after="0" w:before="0"/>
              <w:jc w:val="center"/>
            </w:pPr>
            <w:r>
              <w:rPr>
                <w:rFonts w:ascii="Arial" w:cs="Arial" w:eastAsia="Arial" w:hAnsi="Arial"/>
                <w:b/>
                <w:bCs/>
                <w:color w:val="C4A25B"/>
                <w:sz w:val="19"/>
                <w:szCs w:val="19"/>
              </w:rPr>
              <w:t xml:space="preserve">The same intelligence is now accessible to advisors and institutional partners.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Navy background. Exact proof point language. Do not vary names or framing.</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Closing CTA</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FOR ADVISORS</w:t>
            </w:r>
          </w:p>
          <w:p>
            <w:pPr>
              <w:spacing w:after="80" w:before="0"/>
            </w:pPr>
            <w:r>
              <w:rPr>
                <w:rFonts w:ascii="Arial" w:cs="Arial" w:eastAsia="Arial" w:hAnsi="Arial"/>
                <w:color w:val="2C2C2C"/>
                <w:sz w:val="20"/>
                <w:szCs w:val="20"/>
              </w:rPr>
              <w:t xml:space="preserve">See what a portfolio built from collective intelligence looks like for your practice. Worth 20 minutes.</w:t>
            </w:r>
          </w:p>
          <w:p>
            <w:pPr>
              <w:spacing w:after="0" w:before="0"/>
            </w:pPr>
            <w:r>
              <w:rPr>
                <w:rFonts w:ascii="Arial" w:cs="Arial" w:eastAsia="Arial" w:hAnsi="Arial"/>
                <w:color w:val="637890"/>
                <w:sz w:val="17"/>
                <w:szCs w:val="17"/>
              </w:rPr>
              <w:t xml:space="preserve">▶  Gold CTA button: 'Book a 20-Minute Call'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FOR INSTITUTIONS</w:t>
            </w:r>
          </w:p>
          <w:p>
            <w:pPr>
              <w:spacing w:after="80" w:before="0"/>
            </w:pPr>
            <w:r>
              <w:rPr>
                <w:rFonts w:ascii="Arial" w:cs="Arial" w:eastAsia="Arial" w:hAnsi="Arial"/>
                <w:color w:val="2C2C2C"/>
                <w:sz w:val="20"/>
                <w:szCs w:val="20"/>
              </w:rPr>
              <w:t xml:space="preserve">Paradigm is actively building strategic relationships with family offices, OCIOs, and institutional partners. Start a conversation.</w:t>
            </w:r>
          </w:p>
          <w:p>
            <w:pPr>
              <w:spacing w:after="0" w:before="0"/>
            </w:pPr>
            <w:r>
              <w:rPr>
                <w:rFonts w:ascii="Arial" w:cs="Arial" w:eastAsia="Arial" w:hAnsi="Arial"/>
                <w:color w:val="637890"/>
                <w:sz w:val="17"/>
                <w:szCs w:val="17"/>
              </w:rPr>
              <w:t xml:space="preserve">▶  Navy outline button: 'Start a Conversation'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Warm off-white section. Two columns desktop, stacked mobile. Distinct language register for each audience.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200"/>
              <w:left w:type="dxa" w:w="360"/>
              <w:bottom w:type="dxa" w:w="200"/>
              <w:right w:type="dxa" w:w="360"/>
            </w:tcMar>
          </w:tcPr>
          <w:p>
            <w:pPr>
              <w:spacing w:after="80" w:before="0"/>
            </w:pPr>
            <w:r>
              <w:rPr>
                <w:rFonts w:ascii="Arial" w:cs="Arial" w:eastAsia="Arial" w:hAnsi="Arial"/>
                <w:b/>
                <w:bCs/>
                <w:color w:val="C4A25B"/>
                <w:spacing w:val="80"/>
                <w:sz w:val="16"/>
                <w:szCs w:val="16"/>
              </w:rPr>
              <w:t xml:space="preserve">PAGE 02</w:t>
            </w:r>
          </w:p>
          <w:p>
            <w:pPr>
              <w:spacing w:after="80" w:before="0"/>
            </w:pPr>
            <w:r>
              <w:rPr>
                <w:rFonts w:ascii="Arial" w:cs="Arial" w:eastAsia="Arial" w:hAnsi="Arial"/>
                <w:b/>
                <w:bCs/>
                <w:color w:val="FFFFFF"/>
                <w:sz w:val="36"/>
                <w:szCs w:val="36"/>
              </w:rPr>
              <w:t xml:space="preserve">For Advisors</w:t>
            </w:r>
          </w:p>
          <w:p>
            <w:pPr>
              <w:spacing w:after="0" w:before="0"/>
            </w:pPr>
            <w:r>
              <w:rPr>
                <w:rFonts w:ascii="Arial" w:cs="Arial" w:eastAsia="Arial" w:hAnsi="Arial"/>
                <w:color w:val="BBBBBB"/>
                <w:sz w:val="18"/>
                <w:szCs w:val="18"/>
              </w:rPr>
              <w:t xml:space="preserve">/advisors — Self-contained. Works for any visitor regardless of prior context.</w:t>
            </w:r>
          </w:p>
        </w:tc>
      </w:tr>
    </w:tbl>
    <w:p>
      <w:pPr>
        <w:spacing w:after="0" w:before="200"/>
      </w:pPr>
      <w:r>
        <w:t xml:space="preserve"/>
      </w:r>
    </w:p>
    <w:p>
      <w:pPr>
        <w:spacing w:after="200" w:before="0"/>
      </w:pPr>
      <w:r>
        <w:rPr>
          <w:rFonts w:ascii="Arial" w:cs="Arial" w:eastAsia="Arial" w:hAnsi="Arial"/>
          <w:b w:val="false"/>
          <w:bCs w:val="false"/>
          <w:color w:val="637890"/>
          <w:sz w:val="18"/>
          <w:szCs w:val="18"/>
        </w:rPr>
        <w:t xml:space="preserve">This page carries the complete story. A visitor arriving from a Sopro email, a Google search, a conference referral, or a strategic conversation gets everything they need to understand Paradigm and take the next step. Nothing assumed. Nothing omitted.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Hero</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EYEBROW</w:t>
            </w:r>
          </w:p>
          <w:p>
            <w:pPr>
              <w:spacing w:after="0" w:before="0"/>
            </w:pPr>
            <w:r>
              <w:rPr>
                <w:rFonts w:ascii="Arial" w:cs="Arial" w:eastAsia="Arial" w:hAnsi="Arial"/>
                <w:color w:val="2C2C2C"/>
                <w:sz w:val="20"/>
                <w:szCs w:val="20"/>
              </w:rPr>
              <w:t xml:space="preserve">FOR WEALTH ADVISORS &amp; INDEPENDENT RIAS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H1</w:t>
            </w:r>
          </w:p>
          <w:p>
            <w:pPr>
              <w:spacing w:after="80" w:before="0"/>
            </w:pPr>
            <w:r>
              <w:rPr>
                <w:rFonts w:ascii="Arial" w:cs="Arial" w:eastAsia="Arial" w:hAnsi="Arial"/>
                <w:color w:val="2C2C2C"/>
                <w:sz w:val="20"/>
                <w:szCs w:val="20"/>
              </w:rPr>
              <w:t xml:space="preserve">Your clients are paying active management fees. Most of that capital is locked inside a single strategy’s approach. There is a different way to invest it.</w:t>
            </w:r>
          </w:p>
          <w:p>
            <w:pPr>
              <w:spacing w:after="0" w:before="0"/>
            </w:pPr>
            <w:r>
              <w:rPr>
                <w:rFonts w:ascii="Arial" w:cs="Arial" w:eastAsia="Arial" w:hAnsi="Arial"/>
                <w:color w:val="637890"/>
                <w:sz w:val="17"/>
                <w:szCs w:val="17"/>
              </w:rPr>
              <w:t xml:space="preserve">▶  Three sentences. Names the cost reality in sentence one. Names the structural constraint in sentence two. Opens the door in sentence three. Does not answer yet.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SUBHEADING</w:t>
            </w:r>
          </w:p>
          <w:p>
            <w:pPr>
              <w:spacing w:after="80" w:before="0"/>
            </w:pPr>
            <w:r>
              <w:rPr>
                <w:rFonts w:ascii="Arial" w:cs="Arial" w:eastAsia="Arial" w:hAnsi="Arial"/>
                <w:color w:val="2C2C2C"/>
                <w:sz w:val="20"/>
                <w:szCs w:val="20"/>
              </w:rPr>
              <w:t xml:space="preserve">Paradigm builds portfolios from active market data — not anchored to any single approach. Portfolios that can move as market leadership moves. Under your name.</w:t>
            </w:r>
          </w:p>
          <w:p>
            <w:pPr>
              <w:spacing w:after="0" w:before="0"/>
            </w:pPr>
            <w:r>
              <w:rPr>
                <w:rFonts w:ascii="Arial" w:cs="Arial" w:eastAsia="Arial" w:hAnsi="Arial"/>
                <w:color w:val="637890"/>
                <w:sz w:val="17"/>
                <w:szCs w:val="17"/>
              </w:rPr>
              <w:t xml:space="preserve">▶  Three sentences. The full proposition. Consistent with Sopro production brief language register.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CTA</w:t>
            </w:r>
          </w:p>
          <w:p>
            <w:pPr>
              <w:spacing w:after="80" w:before="0"/>
            </w:pPr>
            <w:r>
              <w:rPr>
                <w:rFonts w:ascii="Arial" w:cs="Arial" w:eastAsia="Arial" w:hAnsi="Arial"/>
                <w:color w:val="2C2C2C"/>
                <w:sz w:val="20"/>
                <w:szCs w:val="20"/>
              </w:rPr>
              <w:t xml:space="preserve">Book a 20-Minute Call</w:t>
            </w:r>
          </w:p>
          <w:p>
            <w:pPr>
              <w:spacing w:after="0" w:before="0"/>
            </w:pPr>
            <w:r>
              <w:rPr>
                <w:rFonts w:ascii="Arial" w:cs="Arial" w:eastAsia="Arial" w:hAnsi="Arial"/>
                <w:color w:val="637890"/>
                <w:sz w:val="17"/>
                <w:szCs w:val="17"/>
              </w:rPr>
              <w:t xml:space="preserve">▶  Warm gold. Single ask. Consistent throughout the page.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Same hero architecture as home page. Navy background. Reversed logo. Serif H1.</w:t>
            </w:r>
          </w:p>
          <w:p>
            <w:pPr>
              <w:spacing w:after="30" w:before="0"/>
            </w:pPr>
            <w:r>
              <w:rPr>
                <w:rFonts w:ascii="Arial" w:cs="Arial" w:eastAsia="Arial" w:hAnsi="Arial"/>
                <w:color w:val="2C2C2C"/>
                <w:sz w:val="18"/>
                <w:szCs w:val="18"/>
              </w:rPr>
              <w:t xml:space="preserve">Single CTA — this page has one audience and one ask. No bifurcation here.</w:t>
            </w:r>
          </w:p>
          <w:p>
            <w:pPr>
              <w:spacing w:after="30" w:before="0"/>
            </w:pPr>
            <w:r>
              <w:rPr>
                <w:rFonts w:ascii="Arial" w:cs="Arial" w:eastAsia="Arial" w:hAnsi="Arial"/>
                <w:color w:val="2C2C2C"/>
                <w:sz w:val="18"/>
                <w:szCs w:val="18"/>
              </w:rPr>
              <w:t xml:space="preserve">Eyebrow in warm gold tracked uppercase above H1.</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The Core Story</w:t>
            </w:r>
          </w:p>
        </w:tc>
      </w:tr>
    </w:tbl>
    <w:p>
      <w:pPr>
        <w:spacing w:after="0" w:before="140"/>
      </w:pPr>
      <w:r>
        <w:t xml:space="preserve"/>
      </w:r>
    </w:p>
    <w:p>
      <w:pPr>
        <w:spacing w:after="140" w:before="0"/>
      </w:pPr>
      <w:r>
        <w:rPr>
          <w:rFonts w:ascii="Arial" w:cs="Arial" w:eastAsia="Arial" w:hAnsi="Arial"/>
          <w:b w:val="false"/>
          <w:bCs w:val="false"/>
          <w:color w:val="2C2C2C"/>
          <w:sz w:val="20"/>
          <w:szCs w:val="20"/>
        </w:rPr>
        <w:t xml:space="preserve">Every active strategy operates within the boundaries of its expertise. A deep value manager knows deep value. A quality growth manager has a genuine edge in quality growth. That specialization is not a limitation — it is the source of their edge. It is also the boundary they cannot cross without leaving what they genuinely know how to do.</w:t>
      </w:r>
    </w:p>
    <w:p>
      <w:pPr>
        <w:spacing w:after="140" w:before="0"/>
      </w:pPr>
      <w:r>
        <w:rPr>
          <w:rFonts w:ascii="Arial" w:cs="Arial" w:eastAsia="Arial" w:hAnsi="Arial"/>
          <w:b w:val="false"/>
          <w:bCs w:val="false"/>
          <w:color w:val="2C2C2C"/>
          <w:sz w:val="20"/>
          <w:szCs w:val="20"/>
        </w:rPr>
        <w:t xml:space="preserve">When market leadership rotates outside those boundaries, the strategy lags. Not because of a mistake. Because following the rotation would mean leaving the domain of real competence. The clients who hired that strategy wait for the cycle to come back around.</w:t>
      </w:r>
    </w:p>
    <w:p>
      <w:pPr>
        <w:spacing w:after="140" w:before="0"/>
      </w:pPr>
      <w:r>
        <w:rPr>
          <w:rFonts w:ascii="Arial" w:cs="Arial" w:eastAsia="Arial" w:hAnsi="Arial"/>
          <w:b w:val="false"/>
          <w:bCs w:val="false"/>
          <w:color w:val="2C2C2C"/>
          <w:sz w:val="20"/>
          <w:szCs w:val="20"/>
        </w:rPr>
        <w:t xml:space="preserve">Paradigm reads active market data to identify where leadership is forming within each mandate right now — and constructs portfolios from that signal. Not anchored to any single approach. Not waiting for a cycle to reverse.</w:t>
      </w:r>
    </w:p>
    <w:p>
      <w:pPr>
        <w:spacing w:after="140" w:before="0"/>
      </w:pPr>
      <w:r>
        <w:rPr>
          <w:rFonts w:ascii="Arial" w:cs="Arial" w:eastAsia="Arial" w:hAnsi="Arial"/>
          <w:b w:val="false"/>
          <w:bCs w:val="false"/>
          <w:color w:val="2C2C2C"/>
          <w:sz w:val="20"/>
          <w:szCs w:val="20"/>
        </w:rPr>
        <w:t xml:space="preserve">The result is a portfolio that can move as leadership moves. Something no single strategy built around a defined approach can do — because doing it would mean abandoning the expertise that defines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Same four-paragraph structure as the home page story. Advisors who visited the home page will recognize it. Advisors who arrive here first get the complete context.</w:t>
            </w:r>
          </w:p>
          <w:p>
            <w:pPr>
              <w:spacing w:after="30" w:before="0"/>
            </w:pPr>
            <w:r>
              <w:rPr>
                <w:rFonts w:ascii="Arial" w:cs="Arial" w:eastAsia="Arial" w:hAnsi="Arial"/>
                <w:color w:val="2C2C2C"/>
                <w:sz w:val="18"/>
                <w:szCs w:val="18"/>
              </w:rPr>
              <w:t xml:space="preserve">No headers. No bold phrases. Continuous argument. 18px, line height 1.8, max-width 720px.</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What This Means for Your Practice</w:t>
            </w:r>
          </w:p>
        </w:tc>
      </w:tr>
    </w:tbl>
    <w:p>
      <w:pPr>
        <w:spacing w:after="0" w:before="140"/>
      </w:pPr>
      <w:r>
        <w:t xml:space="preserve"/>
      </w:r>
    </w:p>
    <w:p>
      <w:pPr>
        <w:spacing w:after="120" w:before="0"/>
      </w:pPr>
      <w:r>
        <w:rPr>
          <w:rFonts w:ascii="Arial" w:cs="Arial" w:eastAsia="Arial" w:hAnsi="Arial"/>
          <w:b w:val="false"/>
          <w:bCs w:val="false"/>
          <w:color w:val="637890"/>
          <w:sz w:val="17"/>
          <w:szCs w:val="17"/>
        </w:rPr>
        <w:t xml:space="preserve">Three specific consequences for independent advisors and wealth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3040"/>
        <w:gridCol w:w="3040"/>
      </w:tblGrid>
      <w:tr>
        <w:tc>
          <w:tcPr>
            <w:tcW w:type="dxa" w:w="3040"/>
            <w:tcBorders>
              <w:top w:val="single" w:color="CCCCCC" w:sz="1"/>
              <w:left w:val="single" w:color="CCCCCC" w:sz="1"/>
              <w:bottom w:val="single" w:color="CCCCCC" w:sz="1"/>
              <w:right w:val="single" w:color="EEEEEE" w:sz="1"/>
            </w:tcBorders>
            <w:shd w:fill="FFFFFF" w:val="clear"/>
            <w:tcMar>
              <w:top w:type="dxa" w:w="200"/>
              <w:left w:type="dxa" w:w="200"/>
              <w:bottom w:type="dxa" w:w="200"/>
              <w:right w:type="dxa" w:w="200"/>
            </w:tcMar>
          </w:tcPr>
          <w:p>
            <w:pPr>
              <w:spacing w:after="100" w:before="0"/>
            </w:pPr>
            <w:r>
              <w:rPr>
                <w:rFonts w:ascii="Arial" w:cs="Arial" w:eastAsia="Arial" w:hAnsi="Arial"/>
                <w:b/>
                <w:bCs/>
                <w:color w:val="34416D"/>
                <w:sz w:val="19"/>
                <w:szCs w:val="19"/>
              </w:rPr>
              <w:t xml:space="preserve">A proprietary investment story</w:t>
            </w:r>
          </w:p>
          <w:p>
            <w:pPr>
              <w:spacing w:after="0" w:before="0"/>
            </w:pPr>
            <w:r>
              <w:rPr>
                <w:rFonts w:ascii="Arial" w:cs="Arial" w:eastAsia="Arial" w:hAnsi="Arial"/>
                <w:color w:val="2C2C2C"/>
                <w:sz w:val="18"/>
                <w:szCs w:val="18"/>
              </w:rPr>
              <w:t xml:space="preserve">Your clients receive something no other advisor on any platform can replicate. Built from the market’s full signal. Not any single strategy’s approach. Presented under your name.</w:t>
            </w:r>
          </w:p>
        </w:tc>
        <w:tc>
          <w:tcPr>
            <w:tcW w:type="dxa" w:w="3040"/>
            <w:tcBorders>
              <w:top w:val="single" w:color="CCCCCC" w:sz="1"/>
              <w:left w:val="single" w:color="EEEEEE" w:sz="1"/>
              <w:bottom w:val="single" w:color="CCCCCC" w:sz="1"/>
              <w:right w:val="single" w:color="EEEEEE" w:sz="1"/>
            </w:tcBorders>
            <w:shd w:fill="FAFAF8" w:val="clear"/>
            <w:tcMar>
              <w:top w:type="dxa" w:w="200"/>
              <w:left w:type="dxa" w:w="200"/>
              <w:bottom w:type="dxa" w:w="200"/>
              <w:right w:type="dxa" w:w="200"/>
            </w:tcMar>
          </w:tcPr>
          <w:p>
            <w:pPr>
              <w:spacing w:after="100" w:before="0"/>
            </w:pPr>
            <w:r>
              <w:rPr>
                <w:rFonts w:ascii="Arial" w:cs="Arial" w:eastAsia="Arial" w:hAnsi="Arial"/>
                <w:b/>
                <w:bCs/>
                <w:color w:val="34416D"/>
                <w:sz w:val="19"/>
                <w:szCs w:val="19"/>
              </w:rPr>
              <w:t xml:space="preserve">Better economics</w:t>
            </w:r>
          </w:p>
          <w:p>
            <w:pPr>
              <w:spacing w:after="0" w:before="0"/>
            </w:pPr>
            <w:r>
              <w:rPr>
                <w:rFonts w:ascii="Arial" w:cs="Arial" w:eastAsia="Arial" w:hAnsi="Arial"/>
                <w:color w:val="2C2C2C"/>
                <w:sz w:val="18"/>
                <w:szCs w:val="18"/>
              </w:rPr>
              <w:t xml:space="preserve">Replace active strategies charging 65 to 100 basis points with portfolios built from collective market intelligence at a fraction of that cost. The margin difference stays with you.</w:t>
            </w:r>
          </w:p>
        </w:tc>
        <w:tc>
          <w:tcPr>
            <w:tcW w:type="dxa" w:w="3040"/>
            <w:tcBorders>
              <w:top w:val="single" w:color="CCCCCC" w:sz="1"/>
              <w:left w:val="single" w:color="EEEEEE" w:sz="1"/>
              <w:bottom w:val="single" w:color="CCCCCC" w:sz="1"/>
              <w:right w:val="single" w:color="CCCCCC" w:sz="1"/>
            </w:tcBorders>
            <w:shd w:fill="FFFFFF" w:val="clear"/>
            <w:tcMar>
              <w:top w:type="dxa" w:w="200"/>
              <w:left w:type="dxa" w:w="200"/>
              <w:bottom w:type="dxa" w:w="200"/>
              <w:right w:type="dxa" w:w="200"/>
            </w:tcMar>
          </w:tcPr>
          <w:p>
            <w:pPr>
              <w:spacing w:after="100" w:before="0"/>
            </w:pPr>
            <w:r>
              <w:rPr>
                <w:rFonts w:ascii="Arial" w:cs="Arial" w:eastAsia="Arial" w:hAnsi="Arial"/>
                <w:b/>
                <w:bCs/>
                <w:color w:val="34416D"/>
                <w:sz w:val="19"/>
                <w:szCs w:val="19"/>
              </w:rPr>
              <w:t xml:space="preserve">Tax efficiency on active strategies</w:t>
            </w:r>
          </w:p>
          <w:p>
            <w:pPr>
              <w:spacing w:after="0" w:before="0"/>
            </w:pPr>
            <w:r>
              <w:rPr>
                <w:rFonts w:ascii="Arial" w:cs="Arial" w:eastAsia="Arial" w:hAnsi="Arial"/>
                <w:color w:val="2C2C2C"/>
                <w:sz w:val="18"/>
                <w:szCs w:val="18"/>
              </w:rPr>
              <w:t xml:space="preserve">Run tax-loss harvesting on the active sleeve using the same workflow you already use for direct indexing. You operate it. Paradigm enables it. Your clients get better after-tax outcomes from both sleeves simultaneously.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Three equal columns. Clean dividers. Each card names one consequence for the advisor's practice — no mechanism, no platform description.</w:t>
            </w:r>
          </w:p>
          <w:p>
            <w:pPr>
              <w:spacing w:after="30" w:before="0"/>
            </w:pPr>
            <w:r>
              <w:rPr>
                <w:rFonts w:ascii="Arial" w:cs="Arial" w:eastAsia="Arial" w:hAnsi="Arial"/>
                <w:color w:val="2C2C2C"/>
                <w:sz w:val="18"/>
                <w:szCs w:val="18"/>
              </w:rPr>
              <w:t xml:space="preserve">Advisor is the subject of every sentence. This page is exclusively for RIAs and wealth advisors.</w:t>
            </w:r>
          </w:p>
          <w:p>
            <w:pPr>
              <w:spacing w:after="30" w:before="0"/>
            </w:pPr>
            <w:r>
              <w:rPr>
                <w:rFonts w:ascii="Arial" w:cs="Arial" w:eastAsia="Arial" w:hAnsi="Arial"/>
                <w:color w:val="2C2C2C"/>
                <w:sz w:val="18"/>
                <w:szCs w:val="18"/>
              </w:rPr>
              <w:t xml:space="preserve">MFO visitors who land here will recognize this page is not written for them. The For Family Offices page (/familyoffice) serves that audience.</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The Platform Capability</w:t>
            </w:r>
          </w:p>
        </w:tc>
      </w:tr>
    </w:tbl>
    <w:p>
      <w:pPr>
        <w:spacing w:after="0" w:before="140"/>
      </w:pPr>
      <w:r>
        <w:t xml:space="preserve"/>
      </w:r>
    </w:p>
    <w:p>
      <w:pPr>
        <w:spacing w:after="140" w:before="0"/>
      </w:pPr>
      <w:r>
        <w:rPr>
          <w:rFonts w:ascii="Arial" w:cs="Arial" w:eastAsia="Arial" w:hAnsi="Arial"/>
          <w:b w:val="false"/>
          <w:bCs w:val="false"/>
          <w:color w:val="2C2C2C"/>
          <w:sz w:val="20"/>
          <w:szCs w:val="20"/>
        </w:rPr>
        <w:t xml:space="preserve">Active management and direct indexing. One platform, fully integrated. Customization, personalization, and tax-loss harvesting run across both sleeves simultaneously — at the individual client level. You operate it. Paradigm enables it.</w:t>
      </w:r>
    </w:p>
    <w:p>
      <w:pPr>
        <w:spacing w:after="140" w:before="0"/>
      </w:pPr>
      <w:r>
        <w:rPr>
          <w:rFonts w:ascii="Arial" w:cs="Arial" w:eastAsia="Arial" w:hAnsi="Arial"/>
          <w:b w:val="false"/>
          <w:bCs w:val="false"/>
          <w:color w:val="2C2C2C"/>
          <w:sz w:val="20"/>
          <w:szCs w:val="20"/>
        </w:rPr>
        <w:t xml:space="preserve">Most advisors manage these capabilities across two vendors, two processes, and two different stories for clients. Paradigm consolidates both. One relationship. One interface. One coherent investment narrative for every client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Two paragraphs. Paragraph one is the capability. Paragraph two is the operational consequence.</w:t>
            </w:r>
          </w:p>
          <w:p>
            <w:pPr>
              <w:spacing w:after="30" w:before="0"/>
            </w:pPr>
            <w:r>
              <w:rPr>
                <w:rFonts w:ascii="Arial" w:cs="Arial" w:eastAsia="Arial" w:hAnsi="Arial"/>
                <w:color w:val="2C2C2C"/>
                <w:sz w:val="18"/>
                <w:szCs w:val="18"/>
              </w:rPr>
              <w:t xml:space="preserve">The phrase ‘You operate it. Paradigm enables it.’ is precise and must not be altered. It reflects the actual delivery model accurately.</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How It’s Delivered</w:t>
            </w:r>
          </w:p>
        </w:tc>
      </w:tr>
    </w:tbl>
    <w:p>
      <w:pPr>
        <w:spacing w:after="0" w:before="140"/>
      </w:pPr>
      <w:r>
        <w:t xml:space="preserve"/>
      </w:r>
    </w:p>
    <w:p>
      <w:pPr>
        <w:spacing w:after="120" w:before="0"/>
      </w:pPr>
      <w:r>
        <w:rPr>
          <w:rFonts w:ascii="Arial" w:cs="Arial" w:eastAsia="Arial" w:hAnsi="Arial"/>
          <w:b w:val="false"/>
          <w:bCs w:val="false"/>
          <w:color w:val="637890"/>
          <w:sz w:val="18"/>
          <w:szCs w:val="18"/>
        </w:rPr>
        <w:t xml:space="preserve">Two ways to work with Paradigm. The capability is identical in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CCCCC" w:sz="1"/>
              <w:left w:val="single" w:color="CCCCCC" w:sz="1"/>
              <w:bottom w:val="single" w:color="CCCCCC" w:sz="1"/>
              <w:right w:val="single" w:color="EEEEEE" w:sz="1"/>
            </w:tcBorders>
            <w:shd w:fill="FFFFFF" w:val="clear"/>
            <w:tcMar>
              <w:top w:type="dxa" w:w="200"/>
              <w:left w:type="dxa" w:w="220"/>
              <w:bottom w:type="dxa" w:w="200"/>
              <w:right w:type="dxa" w:w="220"/>
            </w:tcMar>
          </w:tcPr>
          <w:p>
            <w:pPr>
              <w:spacing w:after="80" w:before="0"/>
            </w:pPr>
            <w:r>
              <w:rPr>
                <w:rFonts w:ascii="Arial" w:cs="Arial" w:eastAsia="Arial" w:hAnsi="Arial"/>
                <w:b/>
                <w:bCs/>
                <w:color w:val="C4A25B"/>
                <w:spacing w:val="60"/>
                <w:sz w:val="14"/>
                <w:szCs w:val="14"/>
              </w:rPr>
              <w:t xml:space="preserve">SELF-SERVE PLATFORM</w:t>
            </w:r>
          </w:p>
          <w:p>
            <w:pPr>
              <w:spacing w:after="100" w:before="0"/>
            </w:pPr>
            <w:r>
              <w:rPr>
                <w:rFonts w:ascii="Arial" w:cs="Arial" w:eastAsia="Arial" w:hAnsi="Arial"/>
                <w:b/>
                <w:bCs/>
                <w:color w:val="34416D"/>
                <w:sz w:val="20"/>
                <w:szCs w:val="20"/>
              </w:rPr>
              <w:t xml:space="preserve">You build it. You run it.</w:t>
            </w:r>
          </w:p>
          <w:p>
            <w:pPr>
              <w:spacing w:after="0" w:before="0"/>
            </w:pPr>
            <w:r>
              <w:rPr>
                <w:rFonts w:ascii="Arial" w:cs="Arial" w:eastAsia="Arial" w:hAnsi="Arial"/>
                <w:color w:val="2C2C2C"/>
                <w:sz w:val="18"/>
                <w:szCs w:val="18"/>
              </w:rPr>
              <w:t xml:space="preserve">Access Paradigm’s platform directly. Customize portfolios to your specification. Run customization, personalization, and tax-loss harvesting across both the active and indexed sleeves from a single interface. Your custodian. Your brand. Your decisions at every step.</w:t>
            </w:r>
          </w:p>
        </w:tc>
        <w:tc>
          <w:tcPr>
            <w:tcW w:type="dxa" w:w="4560"/>
            <w:tcBorders>
              <w:top w:val="single" w:color="CCCCCC" w:sz="1"/>
              <w:left w:val="single" w:color="EEEEEE" w:sz="1"/>
              <w:bottom w:val="single" w:color="CCCCCC" w:sz="1"/>
              <w:right w:val="single" w:color="CCCCCC" w:sz="1"/>
            </w:tcBorders>
            <w:shd w:fill="FAFAF8" w:val="clear"/>
            <w:tcMar>
              <w:top w:type="dxa" w:w="200"/>
              <w:left w:type="dxa" w:w="220"/>
              <w:bottom w:type="dxa" w:w="200"/>
              <w:right w:type="dxa" w:w="220"/>
            </w:tcMar>
          </w:tcPr>
          <w:p>
            <w:pPr>
              <w:spacing w:after="80" w:before="0"/>
            </w:pPr>
            <w:r>
              <w:rPr>
                <w:rFonts w:ascii="Arial" w:cs="Arial" w:eastAsia="Arial" w:hAnsi="Arial"/>
                <w:b/>
                <w:bCs/>
                <w:color w:val="C4A25B"/>
                <w:spacing w:val="60"/>
                <w:sz w:val="14"/>
                <w:szCs w:val="14"/>
              </w:rPr>
              <w:t xml:space="preserve">WHITE GLOVE SERVICE</w:t>
            </w:r>
          </w:p>
          <w:p>
            <w:pPr>
              <w:spacing w:after="100" w:before="0"/>
            </w:pPr>
            <w:r>
              <w:rPr>
                <w:rFonts w:ascii="Arial" w:cs="Arial" w:eastAsia="Arial" w:hAnsi="Arial"/>
                <w:b/>
                <w:bCs/>
                <w:color w:val="34416D"/>
                <w:sz w:val="20"/>
                <w:szCs w:val="20"/>
              </w:rPr>
              <w:t xml:space="preserve">We build it. You run it.</w:t>
            </w:r>
          </w:p>
          <w:p>
            <w:pPr>
              <w:spacing w:after="0" w:before="0"/>
            </w:pPr>
            <w:r>
              <w:rPr>
                <w:rFonts w:ascii="Arial" w:cs="Arial" w:eastAsia="Arial" w:hAnsi="Arial"/>
                <w:color w:val="2C2C2C"/>
                <w:sz w:val="18"/>
                <w:szCs w:val="18"/>
              </w:rPr>
              <w:t xml:space="preserve">Paradigm builds the portfolio to your specification. It sits on the platform. You operate the personalization and tax-loss harvesting for your clients from there. The investment process is yours. The construction is Paradigm’s. Your clients see your name on everything.</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Two-column card layout matching the audience card section above. Visual consistency.</w:t>
            </w:r>
          </w:p>
          <w:p>
            <w:pPr>
              <w:spacing w:after="30" w:before="0"/>
            </w:pPr>
            <w:r>
              <w:rPr>
                <w:rFonts w:ascii="Arial" w:cs="Arial" w:eastAsia="Arial" w:hAnsi="Arial"/>
                <w:color w:val="2C2C2C"/>
                <w:sz w:val="18"/>
                <w:szCs w:val="18"/>
              </w:rPr>
              <w:t xml:space="preserve">Both models end with the advisor in control. The language makes this unambiguous in both cards.</w:t>
            </w:r>
          </w:p>
          <w:p>
            <w:pPr>
              <w:spacing w:after="30" w:before="0"/>
            </w:pPr>
            <w:r>
              <w:rPr>
                <w:rFonts w:ascii="Arial" w:cs="Arial" w:eastAsia="Arial" w:hAnsi="Arial"/>
                <w:color w:val="2C2C2C"/>
                <w:sz w:val="18"/>
                <w:szCs w:val="18"/>
              </w:rPr>
              <w:t xml:space="preserve">White glove card: ‘We build it. You run it.’ is the clearest possible statement of the arrangement.</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Proof</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300"/>
              <w:left w:type="dxa" w:w="480"/>
              <w:bottom w:type="dxa" w:w="300"/>
              <w:right w:type="dxa" w:w="480"/>
            </w:tcMar>
          </w:tcPr>
          <w:p>
            <w:pPr>
              <w:spacing w:after="120" w:before="0"/>
              <w:jc w:val="center"/>
            </w:pPr>
            <w:r>
              <w:rPr>
                <w:rFonts w:ascii="Arial" w:cs="Arial" w:eastAsia="Arial" w:hAnsi="Arial"/>
                <w:b w:val="false"/>
                <w:bCs w:val="false"/>
                <w:color w:val="DDDDDD"/>
                <w:sz w:val="20"/>
                <w:szCs w:val="20"/>
              </w:rPr>
              <w:t xml:space="preserve">Paradigm has worked with institutional clients including General Motors, AMEX, and the US Treasury over its 35-year history.</w:t>
            </w:r>
          </w:p>
          <w:p>
            <w:pPr>
              <w:spacing w:after="0" w:before="0"/>
              <w:jc w:val="center"/>
            </w:pPr>
            <w:r>
              <w:rPr>
                <w:rFonts w:ascii="Arial" w:cs="Arial" w:eastAsia="Arial" w:hAnsi="Arial"/>
                <w:b/>
                <w:bCs/>
                <w:color w:val="C4A25B"/>
                <w:sz w:val="19"/>
                <w:szCs w:val="19"/>
              </w:rPr>
              <w:t xml:space="preserve">The same investment intelligence is now available to independent advisors and multi-family offices.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Navy background. Two sentences. Exact language — do not vary.</w:t>
            </w:r>
          </w:p>
          <w:p>
            <w:pPr>
              <w:spacing w:after="30" w:before="0"/>
            </w:pPr>
            <w:r>
              <w:rPr>
                <w:rFonts w:ascii="Arial" w:cs="Arial" w:eastAsia="Arial" w:hAnsi="Arial"/>
                <w:color w:val="2C2C2C"/>
                <w:sz w:val="18"/>
                <w:szCs w:val="18"/>
              </w:rPr>
              <w:t xml:space="preserve">Second sentence in warm gold: the ‘now available’ bridge is the most important clause on this page for an advisor who has never heard of Paradigm before.</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Closing CTA</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HEADLINE</w:t>
            </w:r>
          </w:p>
          <w:p>
            <w:pPr>
              <w:spacing w:after="0" w:before="0"/>
            </w:pPr>
            <w:r>
              <w:rPr>
                <w:rFonts w:ascii="Arial" w:cs="Arial" w:eastAsia="Arial" w:hAnsi="Arial"/>
                <w:color w:val="2C2C2C"/>
                <w:sz w:val="20"/>
                <w:szCs w:val="20"/>
              </w:rPr>
              <w:t xml:space="preserve">Worth 20 minutes to see what this looks like for your practice?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PRIMARY CTA</w:t>
            </w:r>
          </w:p>
          <w:p>
            <w:pPr>
              <w:spacing w:after="80" w:before="0"/>
            </w:pPr>
            <w:r>
              <w:rPr>
                <w:rFonts w:ascii="Arial" w:cs="Arial" w:eastAsia="Arial" w:hAnsi="Arial"/>
                <w:color w:val="2C2C2C"/>
                <w:sz w:val="20"/>
                <w:szCs w:val="20"/>
              </w:rPr>
              <w:t xml:space="preserve">Book a 20-Minute Call</w:t>
            </w:r>
          </w:p>
          <w:p>
            <w:pPr>
              <w:spacing w:after="0" w:before="0"/>
            </w:pPr>
            <w:r>
              <w:rPr>
                <w:rFonts w:ascii="Arial" w:cs="Arial" w:eastAsia="Arial" w:hAnsi="Arial"/>
                <w:color w:val="637890"/>
                <w:sz w:val="17"/>
                <w:szCs w:val="17"/>
              </w:rPr>
              <w:t xml:space="preserve">▶  Warm gold button. Consistent with every Sopro email sent to this audience.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SECONDARY CONTACT</w:t>
            </w:r>
          </w:p>
          <w:p>
            <w:pPr>
              <w:spacing w:after="80" w:before="0"/>
            </w:pPr>
            <w:r>
              <w:rPr>
                <w:rFonts w:ascii="Arial" w:cs="Arial" w:eastAsia="Arial" w:hAnsi="Arial"/>
                <w:color w:val="2C2C2C"/>
                <w:sz w:val="20"/>
                <w:szCs w:val="20"/>
              </w:rPr>
              <w:t xml:space="preserve">Or reach us directly: jef@paradigmasset.com  ·  917-991-3348</w:t>
            </w:r>
          </w:p>
          <w:p>
            <w:pPr>
              <w:spacing w:after="0" w:before="0"/>
            </w:pPr>
            <w:r>
              <w:rPr>
                <w:rFonts w:ascii="Arial" w:cs="Arial" w:eastAsia="Arial" w:hAnsi="Arial"/>
                <w:color w:val="637890"/>
                <w:sz w:val="17"/>
                <w:szCs w:val="17"/>
              </w:rPr>
              <w:t xml:space="preserve">▶  Small. Grey. Below the button. For visitors who prefer direct contact over a form.</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Warm off-white background. Single primary ask. The 20-minute framing is consistent throughout every touchpoint.</w:t>
            </w:r>
          </w:p>
          <w:p>
            <w:pPr>
              <w:spacing w:after="30" w:before="0"/>
            </w:pPr>
            <w:r>
              <w:rPr>
                <w:rFonts w:ascii="Arial" w:cs="Arial" w:eastAsia="Arial" w:hAnsi="Arial"/>
                <w:color w:val="2C2C2C"/>
                <w:sz w:val="18"/>
                <w:szCs w:val="18"/>
              </w:rPr>
              <w:t xml:space="preserve">Direct contact details visible without clicking. Reduces friction for the advisor who is ready now.</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34416D" w:val="clear"/>
            <w:tcMar>
              <w:top w:type="dxa" w:w="200"/>
              <w:left w:type="dxa" w:w="400"/>
              <w:bottom w:type="dxa" w:w="200"/>
              <w:right w:type="dxa" w:w="400"/>
            </w:tcMar>
          </w:tcPr>
          <w:p>
            <w:pPr>
              <w:spacing w:after="100" w:before="0"/>
              <w:jc w:val="center"/>
            </w:pPr>
            <w:r>
              <w:rPr>
                <w:rFonts w:ascii="Arial" w:cs="Arial" w:eastAsia="Arial" w:hAnsi="Arial"/>
                <w:b/>
                <w:bCs/>
                <w:color w:val="FFFFFF"/>
                <w:sz w:val="22"/>
                <w:szCs w:val="22"/>
              </w:rPr>
              <w:t xml:space="preserve">Copy is final when James Francis approves it.</w:t>
            </w:r>
          </w:p>
          <w:p>
            <w:pPr>
              <w:spacing w:after="0" w:before="0"/>
              <w:jc w:val="center"/>
            </w:pPr>
            <w:r>
              <w:rPr>
                <w:rFonts w:ascii="Arial" w:cs="Arial" w:eastAsia="Arial" w:hAnsi="Arial"/>
                <w:color w:val="BBBBBB"/>
                <w:sz w:val="17"/>
                <w:szCs w:val="17"/>
              </w:rPr>
              <w:t xml:space="preserve">Developer builds to the approved version. No copy changes after build begins.</w:t>
            </w:r>
          </w:p>
        </w:tc>
      </w:tr>
    </w:tbl>
    <w:p>
      <w:pPr>
        <w:spacing w:after="0" w:before="280"/>
      </w:pPr>
      <w:r>
        <w:t xml:space="preserve"/>
      </w:r>
    </w:p>
    <w:p>
      <w:pPr>
        <w:spacing w:after="0" w:before="0"/>
        <w:jc w:val="center"/>
      </w:pPr>
      <w:r>
        <w:rPr>
          <w:rFonts w:ascii="Arial" w:cs="Arial" w:eastAsia="Arial" w:hAnsi="Arial"/>
          <w:color w:val="999999"/>
          <w:sz w:val="15"/>
          <w:szCs w:val="15"/>
        </w:rPr>
        <w:t xml:space="preserve">Paradigm Asset Management  ·  Website Copy Phase 1 v7  ·  May 2026  ·  For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0C4" w:sz="2" w:space="1"/>
      </w:pBdr>
      <w:tabs>
        <w:tab w:val="right" w:pos="9026"/>
      </w:tabs>
      <w:spacing w:before="120"/>
    </w:pPr>
    <w:r>
      <w:rPr>
        <w:rFonts w:ascii="Arial" w:cs="Arial" w:eastAsia="Arial" w:hAnsi="Arial"/>
        <w:color w:val="999999"/>
        <w:sz w:val="14"/>
        <w:szCs w:val="14"/>
      </w:rPr>
      <w:t xml:space="preserve">Paradigm Asset Management  ·  Website Copy Phase 1 v7  ·  May 2026</w:t>
    </w:r>
    <w:r>
      <w:rPr>
        <w:rFonts w:ascii="Arial" w:cs="Arial" w:eastAsia="Arial" w:hAnsi="Arial"/>
      </w:rPr>
      <w:t xml:space="preserv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7B3A" w:sz="4" w:space="1"/>
      </w:pBdr>
      <w:tabs>
        <w:tab w:val="right" w:pos="9026"/>
      </w:tabs>
      <w:spacing w:after="0"/>
    </w:pPr>
    <w:r>
      <w:rPr>
        <w:rFonts w:ascii="Arial" w:cs="Arial" w:eastAsia="Arial" w:hAnsi="Arial"/>
        <w:b/>
        <w:bCs/>
        <w:color w:val="34416D"/>
        <w:sz w:val="16"/>
        <w:szCs w:val="16"/>
      </w:rPr>
      <w:t xml:space="preserve">PARADIGM ASSET MANAGEMENT  </w:t>
    </w:r>
    <w:r>
      <w:rPr>
        <w:rFonts w:ascii="Arial" w:cs="Arial" w:eastAsia="Arial" w:hAnsi="Arial"/>
        <w:color w:val="C4A25B"/>
        <w:sz w:val="16"/>
        <w:szCs w:val="16"/>
      </w:rPr>
      <w:t xml:space="preserve">|  Website Copy · Phase 1 v7</w:t>
    </w:r>
    <w:r>
      <w:rPr>
        <w:rFonts w:ascii="Arial" w:cs="Arial" w:eastAsia="Arial" w:hAnsi="Arial"/>
      </w:rPr>
      <w:t xml:space="preserve">	</w:t>
    </w:r>
    <w:r>
      <w:rPr>
        <w:rFonts w:ascii="Arial" w:cs="Arial" w:eastAsia="Arial" w:hAnsi="Arial"/>
        <w:color w:val="999999"/>
        <w:sz w:val="14"/>
        <w:szCs w:val="14"/>
      </w:rPr>
      <w:t xml:space="preserve">FOR REVIEW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80"/>
      <w:outlineLvl w:val="1"/>
    </w:pPr>
    <w:rPr>
      <w:rFonts w:ascii="Arial" w:cs="Arial" w:eastAsia="Arial" w:hAnsi="Arial"/>
      <w:b/>
      <w:bCs/>
      <w:color w:val="34416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2026-05-10T22:42:59.717Z</dcterms:created>
  <dcterms:modified xsi:type="dcterms:W3CDTF">2026-05-10T22:42:59.730Z</dcterms:modified>
</cp:coreProperties>
</file>

<file path=docProps/custom.xml><?xml version="1.0" encoding="utf-8"?>
<Properties xmlns="http://schemas.openxmlformats.org/officeDocument/2006/custom-properties" xmlns:vt="http://schemas.openxmlformats.org/officeDocument/2006/docPropsVTypes"/>
</file>