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2" w:rsidRDefault="006E1682" w:rsidP="006E1682">
      <w:pPr>
        <w:pStyle w:val="Heading1"/>
        <w:rPr>
          <w:szCs w:val="24"/>
        </w:rPr>
      </w:pPr>
      <w:bookmarkStart w:id="0" w:name="_Toc298180242"/>
      <w:bookmarkStart w:id="1" w:name="_Toc296069511"/>
      <w:r>
        <w:t>PEST++ Version 3.1</w:t>
      </w:r>
      <w:r w:rsidRPr="001842E2">
        <w:t xml:space="preserve"> Input Instruc</w:t>
      </w:r>
      <w:r w:rsidRPr="001842E2">
        <w:rPr>
          <w:szCs w:val="24"/>
        </w:rPr>
        <w:t>tions</w:t>
      </w:r>
      <w:bookmarkEnd w:id="0"/>
      <w:bookmarkEnd w:id="1"/>
    </w:p>
    <w:p w:rsidR="006E1682" w:rsidRPr="00057E03" w:rsidRDefault="006E1682" w:rsidP="006E1682">
      <w:pPr>
        <w:pStyle w:val="BodyText"/>
        <w:rPr>
          <w:i/>
        </w:rPr>
      </w:pPr>
      <w:r>
        <w:t xml:space="preserve">The PEST++ Version 3 Visual Studio solution, as well as source code and executable as documented in this report, are available for download at </w:t>
      </w:r>
      <w:r w:rsidRPr="00B51EA1">
        <w:rPr>
          <w:rStyle w:val="Hyperlink"/>
        </w:rPr>
        <w:t>http://wi.water.usgs.gov/models/pestplusplus/</w:t>
      </w:r>
      <w:r w:rsidRPr="005D0D36">
        <w:t xml:space="preserve">. </w:t>
      </w:r>
      <w:r>
        <w:t xml:space="preserve">More recent releases of PEST++, including any enhancements made since the publication of this report, will be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B51EA1">
        <w:rPr>
          <w:rStyle w:val="Hyperlink"/>
        </w:rPr>
        <w:t>https://github.com/dwelter/pestpp/</w:t>
      </w:r>
      <w:r>
        <w:t>.</w:t>
      </w:r>
    </w:p>
    <w:p w:rsidR="006E1682" w:rsidRDefault="006E1682" w:rsidP="006E1682">
      <w:pPr>
        <w:pStyle w:val="BodyText"/>
        <w:rPr>
          <w:lang w:eastAsia="en-AU"/>
        </w:rPr>
      </w:pPr>
      <w:r>
        <w:t>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rsidR="006E1682" w:rsidRPr="009E1FE7" w:rsidRDefault="006E1682" w:rsidP="006E1682">
      <w:pPr>
        <w:pStyle w:val="Heading2"/>
        <w:rPr>
          <w:rStyle w:val="Technical2"/>
          <w:rFonts w:ascii="Arial Narrow" w:hAnsi="Arial Narrow"/>
          <w:sz w:val="24"/>
          <w:lang w:val="en-US"/>
        </w:rPr>
      </w:pPr>
      <w:bookmarkStart w:id="2" w:name="_Toc296069512"/>
      <w:bookmarkStart w:id="3" w:name="_Toc309659345"/>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6E1682" w:rsidRDefault="006E1682" w:rsidP="00AE73F5">
      <w:pPr>
        <w:pStyle w:val="BodyText"/>
        <w:rPr>
          <w:lang w:eastAsia="en-AU"/>
        </w:rPr>
      </w:pPr>
      <w:r>
        <w:t xml:space="preserve"> PEST++ supports various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three</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5D0D36">
        <w:rPr>
          <w:u w:val="single"/>
          <w:lang w:eastAsia="en-AU"/>
        </w:rPr>
        <w:t>Y</w:t>
      </w:r>
      <w:r w:rsidRPr="00F442CB">
        <w:rPr>
          <w:lang w:eastAsia="en-AU"/>
        </w:rPr>
        <w:t xml:space="preserve">et </w:t>
      </w:r>
      <w:proofErr w:type="gramStart"/>
      <w:r w:rsidRPr="005D0D36">
        <w:rPr>
          <w:u w:val="single"/>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5D0D36">
        <w:rPr>
          <w:u w:val="single"/>
          <w:lang w:eastAsia="en-AU"/>
        </w:rPr>
        <w:t>M</w:t>
      </w:r>
      <w:r w:rsidRPr="00F442CB">
        <w:rPr>
          <w:lang w:eastAsia="en-AU"/>
        </w:rPr>
        <w:t>anage</w:t>
      </w:r>
      <w:r w:rsidRPr="005D0D36">
        <w:rPr>
          <w:u w:val="single"/>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TCP/IP-enabled network. YAMR is integrated into PEST++ and is invoked similarly to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t>,</w:t>
      </w:r>
      <w:r w:rsidRPr="003B1E34">
        <w:t xml:space="preserve"> 2009)</w:t>
      </w:r>
      <w:r>
        <w:t xml:space="preserve">. </w:t>
      </w:r>
      <w:r>
        <w:rPr>
          <w:lang w:eastAsia="en-AU"/>
        </w:rPr>
        <w:t xml:space="preserve">Although PEST++ provides an interface to the GENIE run manager, this interface relies on the external GMAN and GSLAVE programs (Muffles and others, 2012) to manage and perform the actual model runs. The serial run manager provides a simple alternative that mimics the </w:t>
      </w:r>
      <w:r>
        <w:rPr>
          <w:lang w:eastAsia="en-AU"/>
        </w:rPr>
        <w:lastRenderedPageBreak/>
        <w:t xml:space="preserve">functionality currently in PEST. </w:t>
      </w:r>
      <w:r w:rsidR="00AE73F5">
        <w:rPr>
          <w:lang w:eastAsia="en-AU"/>
        </w:rPr>
        <w:t xml:space="preserve">  </w:t>
      </w:r>
      <w:r>
        <w:rPr>
          <w:lang w:eastAsia="en-AU"/>
        </w:rPr>
        <w:t xml:space="preserve">In addition to run </w:t>
      </w:r>
      <w:r w:rsidRPr="003A47AB">
        <w:t>manager</w:t>
      </w:r>
      <w:r>
        <w:rPr>
          <w:lang w:eastAsia="en-AU"/>
        </w:rPr>
        <w:t xml:space="preserve"> specification, the command line also controls the restart functionality of PEST++. </w:t>
      </w:r>
    </w:p>
    <w:p w:rsidR="006E1682" w:rsidRDefault="006E1682" w:rsidP="006E1682">
      <w:pPr>
        <w:pStyle w:val="BodyText"/>
        <w:rPr>
          <w:lang w:eastAsia="en-AU"/>
        </w:rPr>
      </w:pPr>
      <w:r w:rsidRPr="002E62CA">
        <w:t xml:space="preserve">The various options related to run manger and restart control are summarized in table 1–1, where /j and /r are optional commands; /j invokes </w:t>
      </w:r>
      <w:proofErr w:type="spellStart"/>
      <w:r w:rsidRPr="002E62CA">
        <w:t>Jacobian</w:t>
      </w:r>
      <w:proofErr w:type="spellEnd"/>
      <w:r w:rsidRPr="002E62CA">
        <w:t xml:space="preserve"> reuse for the first iteration, and /r invokes restart.</w:t>
      </w:r>
    </w:p>
    <w:p w:rsidR="006E1682" w:rsidRPr="00A431AC" w:rsidRDefault="006E1682" w:rsidP="006E1682">
      <w:pPr>
        <w:pStyle w:val="TableTitle"/>
        <w:numPr>
          <w:ilvl w:val="0"/>
          <w:numId w:val="0"/>
        </w:numPr>
        <w:rPr>
          <w:lang w:eastAsia="en-AU"/>
        </w:rPr>
      </w:pPr>
      <w:bookmarkStart w:id="4" w:name="_Toc296069748"/>
      <w:proofErr w:type="gramStart"/>
      <w:r w:rsidRPr="003A47AB">
        <w:rPr>
          <w:b/>
          <w:lang w:eastAsia="en-AU"/>
        </w:rPr>
        <w:t>Table 1–1.</w:t>
      </w:r>
      <w:proofErr w:type="gramEnd"/>
      <w:r>
        <w:rPr>
          <w:lang w:eastAsia="en-AU"/>
        </w:rPr>
        <w:t> </w:t>
      </w:r>
      <w:proofErr w:type="gramStart"/>
      <w:r w:rsidRPr="00A431AC">
        <w:rPr>
          <w:lang w:eastAsia="en-AU"/>
        </w:rPr>
        <w:t>Summary of PEST++ command line options</w:t>
      </w:r>
      <w:r>
        <w:rPr>
          <w:lang w:eastAsia="en-AU"/>
        </w:rPr>
        <w:t>.</w:t>
      </w:r>
      <w:bookmarkEnd w:id="4"/>
      <w:proofErr w:type="gramEnd"/>
    </w:p>
    <w:tbl>
      <w:tblPr>
        <w:tblStyle w:val="Signature"/>
        <w:tblW w:w="0" w:type="auto"/>
        <w:tblLook w:val="04A0"/>
      </w:tblPr>
      <w:tblGrid>
        <w:gridCol w:w="4790"/>
        <w:gridCol w:w="5477"/>
      </w:tblGrid>
      <w:tr w:rsidR="006E1682" w:rsidTr="00AE73F5">
        <w:tc>
          <w:tcPr>
            <w:tcW w:w="3078" w:type="dxa"/>
          </w:tcPr>
          <w:p w:rsidR="006E1682" w:rsidRPr="005A7E5F" w:rsidRDefault="006E1682" w:rsidP="00AE73F5">
            <w:pPr>
              <w:pStyle w:val="TableCellHeading"/>
            </w:pPr>
            <w:r w:rsidRPr="005A7E5F">
              <w:t>Run Manger / Mode</w:t>
            </w:r>
          </w:p>
        </w:tc>
        <w:tc>
          <w:tcPr>
            <w:tcW w:w="6390" w:type="dxa"/>
          </w:tcPr>
          <w:p w:rsidR="006E1682" w:rsidRPr="005A7E5F" w:rsidRDefault="006E1682" w:rsidP="00AE73F5">
            <w:pPr>
              <w:pStyle w:val="TableCellHeading"/>
            </w:pPr>
            <w:r w:rsidRPr="005A7E5F">
              <w:t>Command</w:t>
            </w:r>
          </w:p>
        </w:tc>
      </w:tr>
      <w:tr w:rsidR="006E1682" w:rsidTr="00AE73F5">
        <w:tc>
          <w:tcPr>
            <w:tcW w:w="3078" w:type="dxa"/>
          </w:tcPr>
          <w:p w:rsidR="006E1682" w:rsidRDefault="006E1682" w:rsidP="00AE73F5">
            <w:pPr>
              <w:pStyle w:val="TableCellBody"/>
            </w:pPr>
            <w:r>
              <w:t>Serial Run Manager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[/j] [/r]</w:t>
            </w:r>
          </w:p>
        </w:tc>
      </w:tr>
      <w:tr w:rsidR="006E1682" w:rsidTr="00AE73F5">
        <w:tc>
          <w:tcPr>
            <w:tcW w:w="3078" w:type="dxa"/>
          </w:tcPr>
          <w:p w:rsidR="006E1682" w:rsidRDefault="006E1682" w:rsidP="00AE73F5">
            <w:pPr>
              <w:pStyle w:val="TableCellBody"/>
            </w:pPr>
            <w:r>
              <w:t>YAMR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:&lt;port&gt; [/j] </w:t>
            </w:r>
            <w:r w:rsidRPr="00754B37">
              <w:rPr>
                <w:rFonts w:ascii="Courier New" w:hAnsi="Courier New" w:cs="Courier New"/>
                <w:sz w:val="20"/>
                <w:szCs w:val="20"/>
              </w:rPr>
              <w:lastRenderedPageBreak/>
              <w:t>[/r]</w:t>
            </w:r>
          </w:p>
        </w:tc>
      </w:tr>
      <w:tr w:rsidR="006E1682" w:rsidTr="00AE73F5">
        <w:tc>
          <w:tcPr>
            <w:tcW w:w="3078" w:type="dxa"/>
          </w:tcPr>
          <w:p w:rsidR="006E1682" w:rsidRDefault="006E1682" w:rsidP="00AE73F5">
            <w:pPr>
              <w:pStyle w:val="TableCellBody"/>
            </w:pPr>
            <w:r>
              <w:lastRenderedPageBreak/>
              <w:t>YAMR / Worker Node</w:t>
            </w:r>
          </w:p>
        </w:tc>
        <w:tc>
          <w:tcPr>
            <w:tcW w:w="6390" w:type="dxa"/>
          </w:tcPr>
          <w:p w:rsidR="00AE73F5" w:rsidRDefault="006E1682"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&lt;hostname&gt;:&lt;port&gt;</w:t>
            </w:r>
          </w:p>
          <w:p w:rsidR="00AE73F5" w:rsidRDefault="00AE73F5" w:rsidP="00AE73F5">
            <w:pPr>
              <w:pStyle w:val="BodyText"/>
              <w:spacing w:after="0" w:afterAutospacing="0"/>
              <w:ind w:firstLine="0"/>
              <w:rPr>
                <w:rFonts w:ascii="Courier New" w:hAnsi="Courier New" w:cs="Courier New"/>
                <w:sz w:val="20"/>
                <w:szCs w:val="20"/>
              </w:rPr>
            </w:pPr>
            <w:r>
              <w:rPr>
                <w:rFonts w:ascii="Courier New" w:hAnsi="Courier New" w:cs="Courier New"/>
                <w:sz w:val="20"/>
                <w:szCs w:val="20"/>
              </w:rPr>
              <w:t xml:space="preserve">                or</w:t>
            </w:r>
          </w:p>
          <w:p w:rsidR="00AE73F5" w:rsidRPr="00754B37" w:rsidRDefault="00AE73F5"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proofErr w:type="spellStart"/>
            <w:r>
              <w:rPr>
                <w:rFonts w:ascii="Courier New" w:hAnsi="Courier New" w:cs="Courier New"/>
                <w:sz w:val="20"/>
                <w:szCs w:val="20"/>
              </w:rPr>
              <w:t>ymr</w:t>
            </w:r>
            <w:proofErr w:type="spellEnd"/>
            <w:r w:rsidRPr="00754B37">
              <w:rPr>
                <w:rFonts w:ascii="Courier New" w:hAnsi="Courier New" w:cs="Courier New"/>
                <w:sz w:val="20"/>
                <w:szCs w:val="20"/>
              </w:rPr>
              <w:t xml:space="preserve"> /H &lt;hostname&gt;:&lt;port&gt;</w:t>
            </w:r>
          </w:p>
        </w:tc>
      </w:tr>
      <w:tr w:rsidR="006E1682" w:rsidTr="00AE73F5">
        <w:tc>
          <w:tcPr>
            <w:tcW w:w="3078" w:type="dxa"/>
          </w:tcPr>
          <w:p w:rsidR="006E1682" w:rsidRDefault="006E1682" w:rsidP="00AE73F5">
            <w:pPr>
              <w:pStyle w:val="TableCellBody"/>
            </w:pPr>
            <w:r w:rsidRPr="00EE4391">
              <w:t>GENIE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/G &lt;GENIE Master </w:t>
            </w:r>
            <w:r w:rsidRPr="00754B37">
              <w:rPr>
                <w:rFonts w:ascii="Courier New" w:hAnsi="Courier New" w:cs="Courier New"/>
                <w:sz w:val="20"/>
                <w:szCs w:val="20"/>
              </w:rPr>
              <w:lastRenderedPageBreak/>
              <w:t>hostname&gt;:&lt;port&gt; [/j] [/r]</w:t>
            </w:r>
          </w:p>
        </w:tc>
      </w:tr>
      <w:tr w:rsidR="006E1682" w:rsidTr="00AE73F5">
        <w:tc>
          <w:tcPr>
            <w:tcW w:w="3078" w:type="dxa"/>
          </w:tcPr>
          <w:p w:rsidR="006E1682" w:rsidRDefault="006E1682" w:rsidP="00AE73F5">
            <w:pPr>
              <w:pStyle w:val="TableCellBody"/>
              <w:rPr>
                <w:highlight w:val="yellow"/>
              </w:rPr>
            </w:pPr>
            <w:r w:rsidRPr="00EE4391">
              <w:lastRenderedPageBreak/>
              <w:t>GENIE/Master</w:t>
            </w:r>
          </w:p>
        </w:tc>
        <w:tc>
          <w:tcPr>
            <w:tcW w:w="6390" w:type="dxa"/>
          </w:tcPr>
          <w:p w:rsidR="006E1682" w:rsidRPr="00754B37" w:rsidRDefault="006E1682" w:rsidP="00AE73F5">
            <w:pPr>
              <w:pStyle w:val="BodyText"/>
              <w:ind w:firstLine="0"/>
              <w:rPr>
                <w:rFonts w:ascii="Courier New" w:hAnsi="Courier New" w:cs="Courier New"/>
              </w:rPr>
            </w:pPr>
            <w:r w:rsidRPr="00754B37">
              <w:rPr>
                <w:rFonts w:ascii="Courier New" w:hAnsi="Courier New" w:cs="Courier New"/>
                <w:sz w:val="20"/>
                <w:szCs w:val="20"/>
              </w:rPr>
              <w:t>genie.exe /port &lt;port&gt;</w:t>
            </w:r>
          </w:p>
        </w:tc>
      </w:tr>
      <w:tr w:rsidR="006E1682" w:rsidTr="00AE73F5">
        <w:tc>
          <w:tcPr>
            <w:tcW w:w="3078" w:type="dxa"/>
          </w:tcPr>
          <w:p w:rsidR="006E1682" w:rsidRPr="009F0AF2" w:rsidDel="008C6F5B" w:rsidRDefault="006E1682" w:rsidP="00AE73F5">
            <w:pPr>
              <w:pStyle w:val="TableCellBody"/>
              <w:rPr>
                <w:highlight w:val="yellow"/>
              </w:rPr>
            </w:pPr>
            <w:r w:rsidRPr="00EE4391">
              <w:t>GENIE / Worker Node</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genie.exe /</w:t>
            </w:r>
            <w:proofErr w:type="spellStart"/>
            <w:r w:rsidRPr="00754B37">
              <w:rPr>
                <w:rFonts w:ascii="Courier New" w:hAnsi="Courier New" w:cs="Courier New"/>
                <w:sz w:val="20"/>
                <w:szCs w:val="20"/>
              </w:rPr>
              <w:t>ip</w:t>
            </w:r>
            <w:proofErr w:type="spellEnd"/>
            <w:r w:rsidRPr="00754B37">
              <w:rPr>
                <w:rFonts w:ascii="Courier New" w:hAnsi="Courier New" w:cs="Courier New"/>
                <w:sz w:val="20"/>
                <w:szCs w:val="20"/>
              </w:rPr>
              <w:t xml:space="preserve"> &lt;GENIE Master IP address&gt; /port &lt;port&gt;</w:t>
            </w:r>
          </w:p>
        </w:tc>
      </w:tr>
    </w:tbl>
    <w:p w:rsidR="006E1682" w:rsidRDefault="006E1682" w:rsidP="006E1682">
      <w:pPr>
        <w:pStyle w:val="BodyText"/>
        <w:ind w:firstLine="0"/>
      </w:pPr>
    </w:p>
    <w:p w:rsidR="006E1682" w:rsidRDefault="006E1682" w:rsidP="006E1682">
      <w:pPr>
        <w:pStyle w:val="BodyNoIndent"/>
      </w:pPr>
      <w:r w:rsidRPr="002E62CA">
        <w:t xml:space="preserve">When PEST++ is run with the serial run manager or as the master node with a parallel run manager, it now supports the /j option to reuse an existing binary </w:t>
      </w:r>
      <w:proofErr w:type="spellStart"/>
      <w:r w:rsidRPr="002E62CA">
        <w:t>Jacobian</w:t>
      </w:r>
      <w:proofErr w:type="spellEnd"/>
      <w:r w:rsidRPr="002E62CA">
        <w:t xml:space="preserve"> file rather than computing the </w:t>
      </w:r>
      <w:proofErr w:type="spellStart"/>
      <w:r w:rsidRPr="002E62CA">
        <w:t>Jacobian</w:t>
      </w:r>
      <w:proofErr w:type="spellEnd"/>
      <w:r w:rsidRPr="002E62CA">
        <w:t xml:space="preserve"> for the first iteration. Note that PEST++ can be restarted by using a </w:t>
      </w:r>
      <w:proofErr w:type="spellStart"/>
      <w:r w:rsidRPr="002E62CA">
        <w:t>Jacobian</w:t>
      </w:r>
      <w:proofErr w:type="spellEnd"/>
      <w:r w:rsidRPr="002E62CA">
        <w:t xml:space="preserve"> computed by PEST as long as the PEST++ </w:t>
      </w:r>
      <w:r>
        <w:t>“</w:t>
      </w:r>
      <w:proofErr w:type="spellStart"/>
      <w:r w:rsidRPr="002E62CA">
        <w:t>autonorm</w:t>
      </w:r>
      <w:proofErr w:type="spellEnd"/>
      <w:r>
        <w:t>”</w:t>
      </w:r>
      <w:r w:rsidRPr="002E62CA">
        <w:t xml:space="preserve"> option is not invoked in the control file. </w:t>
      </w:r>
    </w:p>
    <w:p w:rsidR="00AE73F5" w:rsidRDefault="00AE73F5" w:rsidP="006E1682">
      <w:pPr>
        <w:pStyle w:val="BodyNoIndent"/>
      </w:pPr>
    </w:p>
    <w:p w:rsidR="00AE73F5" w:rsidRPr="002E62CA" w:rsidRDefault="00AE73F5" w:rsidP="006E1682">
      <w:pPr>
        <w:pStyle w:val="BodyNoIndent"/>
      </w:pPr>
      <w:r>
        <w:lastRenderedPageBreak/>
        <w:t xml:space="preserve">When PEST++ is used to </w:t>
      </w:r>
      <w:proofErr w:type="spellStart"/>
      <w:r>
        <w:t>involk</w:t>
      </w:r>
      <w:proofErr w:type="spellEnd"/>
      <w:r>
        <w:t xml:space="preserve"> the a YAMR worker node, the user has the option to specify an abbreviated  “.</w:t>
      </w:r>
      <w:proofErr w:type="spellStart"/>
      <w:r>
        <w:t>ymr</w:t>
      </w:r>
      <w:proofErr w:type="spellEnd"/>
      <w:r>
        <w:t>” control file which contains only the relevant information pertaining to the worker node rather than a full PEST++/PEST control file.</w:t>
      </w:r>
      <w:r w:rsidR="008C0AB5">
        <w:t xml:space="preserve">  </w:t>
      </w:r>
    </w:p>
    <w:p w:rsidR="006E1682" w:rsidRPr="009E1FE7" w:rsidRDefault="006E1682" w:rsidP="006E1682">
      <w:pPr>
        <w:pStyle w:val="Heading2"/>
        <w:rPr>
          <w:rStyle w:val="Technical2"/>
          <w:rFonts w:ascii="Arial Narrow" w:hAnsi="Arial Narrow"/>
          <w:sz w:val="24"/>
          <w:lang w:val="en-US"/>
        </w:rPr>
      </w:pPr>
      <w:bookmarkStart w:id="5" w:name="_Toc296069513"/>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bookmarkEnd w:id="5"/>
    </w:p>
    <w:p w:rsidR="006E1682" w:rsidRDefault="006E1682" w:rsidP="006E1682">
      <w:pPr>
        <w:pStyle w:val="BodyText"/>
      </w:pPr>
      <w:r w:rsidRPr="00FA4330">
        <w:t xml:space="preserve">For ease of reference, variables within the </w:t>
      </w:r>
      <w:r>
        <w:t>PEST</w:t>
      </w:r>
      <w:r w:rsidRPr="00FA4330">
        <w:t xml:space="preserve"> control file are listed </w:t>
      </w:r>
      <w:r>
        <w:t xml:space="preserve">below, </w:t>
      </w:r>
      <w:r w:rsidRPr="00FA4330">
        <w:t xml:space="preserve">and the variables used by PEST++ are </w:t>
      </w:r>
      <w:r w:rsidRPr="00BD3C39">
        <w:rPr>
          <w:highlight w:val="lightGray"/>
        </w:rPr>
        <w:t>shaded</w:t>
      </w:r>
      <w:r w:rsidRPr="00FA4330">
        <w:t>.</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6E1682" w:rsidRDefault="006E1682" w:rsidP="006E1682">
      <w:pPr>
        <w:pStyle w:val="computerChar"/>
        <w:spacing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Pr="0005031C">
        <w:rPr>
          <w:rStyle w:val="Technical2"/>
          <w:rFonts w:ascii="Courier New" w:hAnsi="Courier New" w:cs="Courier New"/>
          <w:szCs w:val="20"/>
          <w:lang w:val="en-AU"/>
        </w:rPr>
        <w:t>pcf</w:t>
      </w:r>
      <w:proofErr w:type="spellEnd"/>
      <w:proofErr w:type="gramEnd"/>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6E1682" w:rsidRDefault="006E1682" w:rsidP="006E1682">
      <w:pPr>
        <w:pStyle w:val="computerChar"/>
        <w:spacing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6E1682" w:rsidRDefault="006E1682" w:rsidP="006E1682">
      <w:pPr>
        <w:pStyle w:val="filetyping"/>
        <w:spacing w:after="0" w:line="360" w:lineRule="auto"/>
        <w:rPr>
          <w:rFonts w:cs="Courier New"/>
          <w:sz w:val="20"/>
          <w:szCs w:val="20"/>
        </w:rPr>
      </w:pPr>
      <w:r w:rsidRPr="0005031C">
        <w:rPr>
          <w:rStyle w:val="Technical2"/>
          <w:rFonts w:ascii="Courier New" w:hAnsi="Courier New" w:cs="Courier New"/>
          <w:szCs w:val="20"/>
          <w:highlight w:val="lightGray"/>
          <w:lang w:val="en-AU"/>
        </w:rPr>
        <w:lastRenderedPageBreak/>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6E1682" w:rsidRDefault="006E1682" w:rsidP="006E1682">
      <w:pPr>
        <w:pStyle w:val="computerChar"/>
        <w:spacing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6E1682" w:rsidRDefault="006E1682" w:rsidP="006E1682">
      <w:pPr>
        <w:pStyle w:val="computerChar"/>
        <w:spacing w:line="360" w:lineRule="auto"/>
        <w:rPr>
          <w:rFonts w:cs="Courier New"/>
          <w:sz w:val="20"/>
          <w:szCs w:val="20"/>
        </w:rPr>
      </w:pPr>
      <w:r w:rsidRPr="0005031C">
        <w:rPr>
          <w:rFonts w:cs="Courier New"/>
          <w:sz w:val="20"/>
          <w:szCs w:val="20"/>
        </w:rPr>
        <w:t>MAXAUI AUISTARTOPT NOAUIPHIRAT AUIRESTITN</w:t>
      </w:r>
    </w:p>
    <w:p w:rsidR="006E1682" w:rsidRDefault="006E1682" w:rsidP="006E1682">
      <w:pPr>
        <w:pStyle w:val="computerChar"/>
        <w:spacing w:line="360" w:lineRule="auto"/>
        <w:rPr>
          <w:rFonts w:cs="Courier New"/>
          <w:sz w:val="20"/>
          <w:szCs w:val="20"/>
        </w:rPr>
      </w:pPr>
      <w:r w:rsidRPr="0005031C">
        <w:rPr>
          <w:rFonts w:cs="Courier New"/>
          <w:sz w:val="20"/>
          <w:szCs w:val="20"/>
        </w:rPr>
        <w:t>AUISENSRAT AUIHOLDMAXCHG AUINUMFREE</w:t>
      </w:r>
    </w:p>
    <w:p w:rsidR="006E1682" w:rsidRDefault="006E1682" w:rsidP="006E1682">
      <w:pPr>
        <w:pStyle w:val="computerChar"/>
        <w:spacing w:line="360" w:lineRule="auto"/>
        <w:rPr>
          <w:rFonts w:cs="Courier New"/>
          <w:sz w:val="20"/>
          <w:szCs w:val="20"/>
        </w:rPr>
      </w:pPr>
      <w:r w:rsidRPr="0005031C">
        <w:rPr>
          <w:rFonts w:cs="Courier New"/>
          <w:sz w:val="20"/>
          <w:szCs w:val="20"/>
        </w:rPr>
        <w:t>AUIPHIRATSUF AUIPHIRATACCEPT NAUINOACCEPT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6E1682" w:rsidRDefault="006E1682" w:rsidP="006E1682">
      <w:pPr>
        <w:pStyle w:val="computerChar"/>
        <w:spacing w:line="360" w:lineRule="auto"/>
        <w:rPr>
          <w:rFonts w:cs="Courier New"/>
          <w:sz w:val="20"/>
          <w:szCs w:val="20"/>
        </w:rPr>
      </w:pPr>
      <w:r w:rsidRPr="0005031C">
        <w:rPr>
          <w:rFonts w:cs="Courier New"/>
          <w:sz w:val="20"/>
          <w:szCs w:val="20"/>
        </w:rPr>
        <w:t>SVDMODE</w:t>
      </w:r>
    </w:p>
    <w:p w:rsidR="006E1682" w:rsidRDefault="006E1682" w:rsidP="006E1682">
      <w:pPr>
        <w:pStyle w:val="computerChar"/>
        <w:spacing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6E1682" w:rsidRDefault="006E1682" w:rsidP="006E1682">
      <w:pPr>
        <w:pStyle w:val="computerChar"/>
        <w:spacing w:line="360" w:lineRule="auto"/>
        <w:rPr>
          <w:rFonts w:cs="Courier New"/>
          <w:sz w:val="20"/>
          <w:szCs w:val="20"/>
        </w:rPr>
      </w:pPr>
      <w:r w:rsidRPr="0005031C">
        <w:rPr>
          <w:rFonts w:cs="Courier New"/>
          <w:sz w:val="20"/>
          <w:szCs w:val="20"/>
        </w:rPr>
        <w:t>EIGWRITE</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6E1682" w:rsidRDefault="006E1682" w:rsidP="006E1682">
      <w:pPr>
        <w:pStyle w:val="computerChar"/>
        <w:spacing w:line="360" w:lineRule="auto"/>
        <w:rPr>
          <w:rFonts w:cs="Courier New"/>
          <w:sz w:val="20"/>
          <w:szCs w:val="20"/>
        </w:rPr>
      </w:pPr>
      <w:r w:rsidRPr="0005031C">
        <w:rPr>
          <w:rFonts w:cs="Courier New"/>
          <w:sz w:val="20"/>
          <w:szCs w:val="20"/>
        </w:rPr>
        <w:t>LSQRMODE</w:t>
      </w:r>
    </w:p>
    <w:p w:rsidR="006E1682" w:rsidRDefault="006E1682" w:rsidP="006E1682">
      <w:pPr>
        <w:pStyle w:val="computerChar"/>
        <w:spacing w:line="360" w:lineRule="auto"/>
        <w:rPr>
          <w:rFonts w:cs="Courier New"/>
          <w:sz w:val="20"/>
          <w:szCs w:val="20"/>
        </w:rPr>
      </w:pPr>
      <w:r w:rsidRPr="0005031C">
        <w:rPr>
          <w:rFonts w:cs="Courier New"/>
          <w:sz w:val="20"/>
          <w:szCs w:val="20"/>
        </w:rPr>
        <w:t>LSQR_ATOL LSQR_BTOL LSQR_CONLIM LSQR_ITNLIM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Fonts w:cs="Courier New"/>
          <w:sz w:val="20"/>
          <w:szCs w:val="20"/>
        </w:rPr>
        <w:t>LSQRWRITE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BASEPESTFILE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BASEJACFILE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6E1682" w:rsidRDefault="006E1682" w:rsidP="006E1682">
      <w:pPr>
        <w:pStyle w:val="computerChar"/>
        <w:spacing w:line="360" w:lineRule="auto"/>
        <w:rPr>
          <w:rFonts w:cs="Courier New"/>
          <w:sz w:val="20"/>
          <w:szCs w:val="20"/>
        </w:rPr>
      </w:pPr>
      <w:proofErr w:type="gramStart"/>
      <w:r w:rsidRPr="0005031C">
        <w:rPr>
          <w:rFonts w:cs="Courier New"/>
          <w:sz w:val="20"/>
          <w:szCs w:val="20"/>
        </w:rPr>
        <w:lastRenderedPageBreak/>
        <w:t>SENRELTHRESH  SENMAXREUSE</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6E1682" w:rsidRDefault="006E1682" w:rsidP="006E1682">
      <w:pPr>
        <w:pStyle w:val="computerChar"/>
        <w:spacing w:line="360" w:lineRule="auto"/>
        <w:rPr>
          <w:rFonts w:cs="Courier New"/>
          <w:sz w:val="20"/>
          <w:szCs w:val="20"/>
        </w:rPr>
      </w:pPr>
      <w:r w:rsidRPr="0005031C">
        <w:rPr>
          <w:rFonts w:cs="Courier New"/>
          <w:sz w:val="20"/>
          <w:szCs w:val="20"/>
        </w:rPr>
        <w:t>DERCOMLINE</w:t>
      </w:r>
    </w:p>
    <w:p w:rsidR="006E1682" w:rsidRDefault="006E1682" w:rsidP="006E1682">
      <w:pPr>
        <w:pStyle w:val="computerChar"/>
        <w:spacing w:line="360" w:lineRule="auto"/>
        <w:rPr>
          <w:rFonts w:cs="Courier New"/>
          <w:sz w:val="20"/>
          <w:szCs w:val="20"/>
        </w:rPr>
      </w:pPr>
      <w:r w:rsidRPr="0005031C">
        <w:rPr>
          <w:rFonts w:cs="Courier New"/>
          <w:sz w:val="20"/>
          <w:szCs w:val="20"/>
        </w:rPr>
        <w:t>EXTDERFLE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lastRenderedPageBreak/>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PHIMLIM  PHIMACCEPT</w:t>
      </w:r>
      <w:proofErr w:type="gramEnd"/>
      <w:r w:rsidRPr="0005031C">
        <w:rPr>
          <w:rStyle w:val="Technical2"/>
          <w:rFonts w:ascii="Courier New" w:hAnsi="Courier New" w:cs="Courier New"/>
          <w:szCs w:val="20"/>
          <w:lang w:val="en-AU"/>
        </w:rPr>
        <w:t xml:space="preserve"> [FRACPHIM] [MEMSAVE] </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lastRenderedPageBreak/>
        <w:t>WFINIT  WFMIN</w:t>
      </w:r>
      <w:proofErr w:type="gramEnd"/>
      <w:r w:rsidRPr="0005031C">
        <w:rPr>
          <w:rStyle w:val="Technical2"/>
          <w:rFonts w:ascii="Courier New" w:hAnsi="Courier New" w:cs="Courier New"/>
          <w:szCs w:val="20"/>
          <w:lang w:val="en-AU"/>
        </w:rPr>
        <w:t xml:space="preserve">  WFMAX  [LINREG][REGCONTINUE]</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6E1682" w:rsidRDefault="006E1682" w:rsidP="006E1682">
      <w:pPr>
        <w:pStyle w:val="computerChar"/>
        <w:spacing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6E1682" w:rsidRDefault="006E1682" w:rsidP="006E1682">
      <w:pPr>
        <w:spacing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lastRenderedPageBreak/>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OVERDUE_RESCHED_FAC(2.0)</w:t>
      </w:r>
    </w:p>
    <w:p w:rsidR="006E1682" w:rsidRPr="00BA028F"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OVERDUE_GIVEUP_FAC(10.0)</w:t>
      </w:r>
    </w:p>
    <w:p w:rsidR="006E1682" w:rsidRPr="00BA028F" w:rsidRDefault="006E1682" w:rsidP="006E1682">
      <w:pPr>
        <w:spacing w:line="360" w:lineRule="auto"/>
        <w:rPr>
          <w:rStyle w:val="Technical2"/>
          <w:rFonts w:ascii="Courier New" w:hAnsi="Courier New" w:cs="Courier New"/>
          <w:szCs w:val="20"/>
          <w:lang w:val="pt-PT"/>
        </w:rPr>
      </w:pPr>
    </w:p>
    <w:p w:rsidR="006E1682" w:rsidRDefault="006E1682" w:rsidP="006E1682">
      <w:pPr>
        <w:spacing w:line="240" w:lineRule="auto"/>
        <w:rPr>
          <w:rStyle w:val="Technical2"/>
          <w:rFonts w:ascii="Courier New" w:hAnsi="Courier New" w:cs="Courier New"/>
          <w:i/>
          <w:iCs/>
          <w:szCs w:val="20"/>
          <w:lang w:val="pt-PT" w:eastAsia="en-AU" w:bidi="en-US"/>
        </w:rPr>
      </w:pPr>
      <w:r>
        <w:rPr>
          <w:rStyle w:val="Technical2"/>
          <w:rFonts w:ascii="Courier New" w:hAnsi="Courier New" w:cs="Courier New"/>
          <w:b/>
          <w:i/>
          <w:iCs/>
          <w:szCs w:val="20"/>
          <w:lang w:val="pt-PT"/>
        </w:rPr>
        <w:br w:type="page"/>
      </w:r>
    </w:p>
    <w:p w:rsidR="006E1682" w:rsidRDefault="006E1682" w:rsidP="006E1682">
      <w:pPr>
        <w:pStyle w:val="Caption1"/>
      </w:pPr>
      <w:r>
        <w:lastRenderedPageBreak/>
        <w:t xml:space="preserve">Variables in “control data” section of PEST control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RSTFLE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Instructs PEST whether to write restart data</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PESTMODE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6E1682" w:rsidRDefault="006E1682" w:rsidP="00AE73F5">
            <w:pPr>
              <w:pStyle w:val="TableCellBody"/>
              <w:rPr>
                <w:lang w:val="en-AU"/>
              </w:rPr>
            </w:pPr>
            <w:r w:rsidRPr="00C506B5">
              <w:rPr>
                <w:lang w:val="en-AU"/>
              </w:rPr>
              <w:t>PEST’s mode of operation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parameters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NUMCOM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optional; greater than zero</w:t>
            </w:r>
          </w:p>
        </w:tc>
        <w:tc>
          <w:tcPr>
            <w:tcW w:w="4172" w:type="dxa"/>
          </w:tcPr>
          <w:p w:rsidR="006E1682" w:rsidRDefault="006E1682" w:rsidP="00AE73F5">
            <w:pPr>
              <w:pStyle w:val="TableCellBody"/>
              <w:rPr>
                <w:lang w:val="en-AU"/>
              </w:rPr>
            </w:pPr>
            <w:r w:rsidRPr="00C506B5">
              <w:rPr>
                <w:lang w:val="en-AU"/>
              </w:rPr>
              <w:t>Number of command lines used to run model</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Parameter relative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1</w:t>
            </w:r>
          </w:p>
        </w:tc>
        <w:tc>
          <w:tcPr>
            <w:tcW w:w="4172" w:type="dxa"/>
          </w:tcPr>
          <w:p w:rsidR="006E1682" w:rsidRDefault="006E1682" w:rsidP="00AE73F5">
            <w:pPr>
              <w:pStyle w:val="TableCellBody"/>
              <w:rPr>
                <w:lang w:val="en-AU"/>
              </w:rPr>
            </w:pPr>
            <w:r w:rsidRPr="00C506B5">
              <w:rPr>
                <w:lang w:val="en-AU"/>
              </w:rPr>
              <w:t>Parameter factor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FACORIG</w:t>
            </w:r>
          </w:p>
        </w:tc>
        <w:tc>
          <w:tcPr>
            <w:tcW w:w="879" w:type="dxa"/>
          </w:tcPr>
          <w:p w:rsidR="006E1682" w:rsidRDefault="006E1682" w:rsidP="00AE73F5">
            <w:pPr>
              <w:pStyle w:val="TableCellBody"/>
              <w:rPr>
                <w:lang w:val="en-AU"/>
              </w:rPr>
            </w:pPr>
            <w:r>
              <w:rPr>
                <w:lang w:val="en-AU"/>
              </w:rPr>
              <w:t>Real</w:t>
            </w:r>
          </w:p>
        </w:tc>
        <w:tc>
          <w:tcPr>
            <w:tcW w:w="2268" w:type="dxa"/>
          </w:tcPr>
          <w:p w:rsidR="006E1682" w:rsidRDefault="006E1682" w:rsidP="00AE73F5">
            <w:pPr>
              <w:pStyle w:val="TableCellBody"/>
              <w:rPr>
                <w:lang w:val="en-AU"/>
              </w:rPr>
            </w:pPr>
            <w:r>
              <w:rPr>
                <w:lang w:val="en-AU"/>
              </w:rPr>
              <w:t>between 0 and 1</w:t>
            </w:r>
          </w:p>
        </w:tc>
        <w:tc>
          <w:tcPr>
            <w:tcW w:w="4172" w:type="dxa"/>
          </w:tcPr>
          <w:p w:rsidR="006E1682" w:rsidRDefault="006E1682" w:rsidP="00AE73F5">
            <w:pPr>
              <w:pStyle w:val="TableCellBody"/>
              <w:rPr>
                <w:lang w:val="en-AU"/>
              </w:rPr>
            </w:pPr>
            <w:r>
              <w:rPr>
                <w:lang w:val="en-AU"/>
              </w:rPr>
              <w:t>Minimum fraction of original parameter value in evaluating relative change.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PHIREDSWH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6E1682" w:rsidRDefault="006E1682" w:rsidP="00AE73F5">
            <w:pPr>
              <w:pStyle w:val="TableCellBody"/>
              <w:rPr>
                <w:lang w:val="en-AU"/>
              </w:rPr>
            </w:pPr>
            <w:r w:rsidRPr="00C506B5">
              <w:rPr>
                <w:lang w:val="en-AU"/>
              </w:rPr>
              <w:t>Sets objective function change for introduction of central derivatives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NOPTMAX</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6E1682" w:rsidRDefault="006E1682" w:rsidP="00AE73F5">
            <w:pPr>
              <w:pStyle w:val="TableCellBody"/>
              <w:rPr>
                <w:lang w:val="en-AU"/>
              </w:rPr>
            </w:pPr>
            <w:r w:rsidRPr="00C506B5">
              <w:rPr>
                <w:lang w:val="en-AU"/>
              </w:rPr>
              <w:t>Number of optimi</w:t>
            </w:r>
            <w:r>
              <w:rPr>
                <w:lang w:val="en-AU"/>
              </w:rPr>
              <w:t>z</w:t>
            </w:r>
            <w:r w:rsidRPr="00C506B5">
              <w:rPr>
                <w:lang w:val="en-AU"/>
              </w:rPr>
              <w:t>ation iterations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Relative objective function reduction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NPHISTP</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PHIREDSTP applies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NPHINORED</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iterations since last drop in objective function to trigger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Maximum relative parameter change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NRELPAR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RELPARSTP applies</w:t>
            </w:r>
            <w:r>
              <w:rPr>
                <w:lang w:val="en-AU"/>
              </w:rPr>
              <w:t>.</w:t>
            </w:r>
          </w:p>
        </w:tc>
      </w:tr>
    </w:tbl>
    <w:p w:rsidR="006E1682" w:rsidRDefault="006E1682" w:rsidP="006E1682">
      <w:pPr>
        <w:pStyle w:val="Caption1"/>
      </w:pPr>
    </w:p>
    <w:p w:rsidR="006E1682" w:rsidRDefault="006E1682" w:rsidP="006E1682">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MAXSING</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singular values at which truncation occurs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EIGTHRESH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greater, but less than </w:t>
            </w:r>
            <w:r>
              <w:rPr>
                <w:lang w:val="en-AU"/>
              </w:rPr>
              <w:t>1</w:t>
            </w:r>
          </w:p>
        </w:tc>
        <w:tc>
          <w:tcPr>
            <w:tcW w:w="4172" w:type="dxa"/>
          </w:tcPr>
          <w:p w:rsidR="006E1682" w:rsidRDefault="006E1682" w:rsidP="00AE73F5">
            <w:pPr>
              <w:pStyle w:val="TableCellBody"/>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EIGWRITE</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w:t>
            </w:r>
            <w:r>
              <w:rPr>
                <w:lang w:val="en-AU"/>
              </w:rPr>
              <w:t>1</w:t>
            </w:r>
          </w:p>
        </w:tc>
        <w:tc>
          <w:tcPr>
            <w:tcW w:w="4172" w:type="dxa"/>
          </w:tcPr>
          <w:p w:rsidR="006E1682" w:rsidRDefault="006E1682" w:rsidP="00AE73F5">
            <w:pPr>
              <w:pStyle w:val="TableCellBody"/>
              <w:rPr>
                <w:lang w:val="en-AU"/>
              </w:rPr>
            </w:pPr>
            <w:r w:rsidRPr="00C506B5">
              <w:rPr>
                <w:lang w:val="en-AU"/>
              </w:rPr>
              <w:t>Determines content of SVD output file</w:t>
            </w:r>
            <w:r>
              <w:rPr>
                <w:lang w:val="en-AU"/>
              </w:rPr>
              <w:t>.</w:t>
            </w:r>
          </w:p>
        </w:tc>
      </w:tr>
    </w:tbl>
    <w:p w:rsidR="006E1682" w:rsidRDefault="006E1682" w:rsidP="006E1682">
      <w:pPr>
        <w:pStyle w:val="Caption1"/>
      </w:pP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INCTYP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Method by which parameter increments are calculated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Absolute or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DERINCLB</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Absolute lower bound of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FORCEN</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“switch”, “always_2”, “always_3”</w:t>
            </w:r>
            <w:r>
              <w:rPr>
                <w:lang w:val="en-AU"/>
              </w:rPr>
              <w:t>, “switch_5”, “always_5”</w:t>
            </w:r>
          </w:p>
        </w:tc>
        <w:tc>
          <w:tcPr>
            <w:tcW w:w="4172" w:type="dxa"/>
          </w:tcPr>
          <w:p w:rsidR="006E1682" w:rsidRDefault="006E1682" w:rsidP="00AE73F5">
            <w:pPr>
              <w:pStyle w:val="TableCellBody"/>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DERINCMUL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Derivative increment multiplier when undertaking central derivatives calculation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DERMTHD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F321A1">
              <w:rPr>
                <w:lang w:val="en-AU"/>
              </w:rPr>
              <w:t>“parabolic”, “</w:t>
            </w:r>
            <w:proofErr w:type="spellStart"/>
            <w:r w:rsidRPr="00F321A1">
              <w:rPr>
                <w:lang w:val="en-AU"/>
              </w:rPr>
              <w:t>outside_pts</w:t>
            </w:r>
            <w:proofErr w:type="spellEnd"/>
            <w:r w:rsidRPr="00F321A1">
              <w:rPr>
                <w:lang w:val="en-AU"/>
              </w:rPr>
              <w:t>”, “</w:t>
            </w:r>
            <w:proofErr w:type="spellStart"/>
            <w:r w:rsidRPr="00F321A1">
              <w:rPr>
                <w:lang w:val="en-AU"/>
              </w:rPr>
              <w:t>best_fit</w:t>
            </w:r>
            <w:proofErr w:type="spellEnd"/>
            <w:r w:rsidRPr="00F321A1">
              <w:rPr>
                <w:lang w:val="en-AU"/>
              </w:rPr>
              <w:t>”, “</w:t>
            </w:r>
            <w:proofErr w:type="spellStart"/>
            <w:r w:rsidRPr="00F321A1">
              <w:rPr>
                <w:lang w:val="en-AU"/>
              </w:rPr>
              <w:t>minvar</w:t>
            </w:r>
            <w:proofErr w:type="spellEnd"/>
            <w:r w:rsidRPr="00F321A1">
              <w:rPr>
                <w:lang w:val="en-AU"/>
              </w:rPr>
              <w:t>”, “</w:t>
            </w:r>
            <w:proofErr w:type="spellStart"/>
            <w:r w:rsidRPr="00F321A1">
              <w:rPr>
                <w:lang w:val="en-AU"/>
              </w:rPr>
              <w:t>maxprec</w:t>
            </w:r>
            <w:proofErr w:type="spellEnd"/>
            <w:r w:rsidRPr="00F321A1">
              <w:rPr>
                <w:lang w:val="en-AU"/>
              </w:rPr>
              <w:t>”</w:t>
            </w:r>
          </w:p>
        </w:tc>
        <w:tc>
          <w:tcPr>
            <w:tcW w:w="4172" w:type="dxa"/>
          </w:tcPr>
          <w:p w:rsidR="006E1682" w:rsidRDefault="006E1682" w:rsidP="00AE73F5">
            <w:pPr>
              <w:pStyle w:val="TableCellBody"/>
              <w:rPr>
                <w:lang w:val="en-AU"/>
              </w:rPr>
            </w:pPr>
            <w:r w:rsidRPr="00C506B5">
              <w:rPr>
                <w:lang w:val="en-AU"/>
              </w:rPr>
              <w:t>Method of central derivatives calculation</w:t>
            </w:r>
            <w:r>
              <w:rPr>
                <w:lang w:val="en-AU"/>
              </w:rPr>
              <w:t>. PEST++ V3 only supports “parabolic”</w:t>
            </w:r>
          </w:p>
        </w:tc>
      </w:tr>
    </w:tbl>
    <w:p w:rsidR="006E1682" w:rsidRDefault="006E1682" w:rsidP="006E1682">
      <w:pPr>
        <w:rPr>
          <w:lang w:val="en-AU"/>
        </w:rPr>
      </w:pPr>
    </w:p>
    <w:p w:rsidR="006E1682" w:rsidRDefault="006E1682" w:rsidP="006E1682">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PARTRANS</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“log”, “none”, “fixed”, “tied”</w:t>
            </w:r>
          </w:p>
        </w:tc>
        <w:tc>
          <w:tcPr>
            <w:tcW w:w="4172" w:type="dxa"/>
          </w:tcPr>
          <w:p w:rsidR="006E1682" w:rsidRDefault="006E1682" w:rsidP="00AE73F5">
            <w:pPr>
              <w:pStyle w:val="TableCellBody"/>
              <w:rPr>
                <w:lang w:val="en-AU"/>
              </w:rPr>
            </w:pPr>
            <w:r w:rsidRPr="00C506B5">
              <w:rPr>
                <w:lang w:val="en-AU"/>
              </w:rPr>
              <w:t>Parameter transformation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PARCHGLIM</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6E1682" w:rsidRDefault="006E1682" w:rsidP="00AE73F5">
            <w:pPr>
              <w:pStyle w:val="TableCellBody"/>
              <w:rPr>
                <w:lang w:val="en-AU"/>
              </w:rPr>
            </w:pPr>
            <w:r w:rsidRPr="00C506B5">
              <w:rPr>
                <w:lang w:val="en-AU"/>
              </w:rPr>
              <w:t>Type of parameter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PARVAL1</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real number</w:t>
            </w:r>
          </w:p>
        </w:tc>
        <w:tc>
          <w:tcPr>
            <w:tcW w:w="4172" w:type="dxa"/>
          </w:tcPr>
          <w:p w:rsidR="006E1682" w:rsidRDefault="006E1682" w:rsidP="00AE73F5">
            <w:pPr>
              <w:pStyle w:val="TableCellBody"/>
              <w:rPr>
                <w:lang w:val="en-AU"/>
              </w:rPr>
            </w:pPr>
            <w:r w:rsidRPr="00C506B5">
              <w:rPr>
                <w:lang w:val="en-AU"/>
              </w:rPr>
              <w:t>Initial parameter value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PARLBND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less than or equal to PARVAL1</w:t>
            </w:r>
          </w:p>
        </w:tc>
        <w:tc>
          <w:tcPr>
            <w:tcW w:w="4172" w:type="dxa"/>
          </w:tcPr>
          <w:p w:rsidR="006E1682" w:rsidRDefault="006E1682" w:rsidP="00AE73F5">
            <w:pPr>
              <w:pStyle w:val="TableCellBody"/>
              <w:rPr>
                <w:lang w:val="en-AU"/>
              </w:rPr>
            </w:pPr>
            <w:r w:rsidRPr="00C506B5">
              <w:rPr>
                <w:lang w:val="en-AU"/>
              </w:rPr>
              <w:t>Parameter lower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PARUBND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greater than or equal to PARVAL1</w:t>
            </w:r>
          </w:p>
        </w:tc>
        <w:tc>
          <w:tcPr>
            <w:tcW w:w="4172" w:type="dxa"/>
          </w:tcPr>
          <w:p w:rsidR="006E1682" w:rsidRDefault="006E1682" w:rsidP="00AE73F5">
            <w:pPr>
              <w:pStyle w:val="TableCellBody"/>
              <w:rPr>
                <w:lang w:val="en-AU"/>
              </w:rPr>
            </w:pPr>
            <w:r w:rsidRPr="00C506B5">
              <w:rPr>
                <w:lang w:val="en-AU"/>
              </w:rPr>
              <w:t>Parameter upper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SCALE</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any number other than </w:t>
            </w:r>
            <w:r>
              <w:rPr>
                <w:lang w:val="en-AU"/>
              </w:rPr>
              <w:t>0</w:t>
            </w:r>
          </w:p>
        </w:tc>
        <w:tc>
          <w:tcPr>
            <w:tcW w:w="4172" w:type="dxa"/>
          </w:tcPr>
          <w:p w:rsidR="006E1682" w:rsidRDefault="006E1682" w:rsidP="00AE73F5">
            <w:pPr>
              <w:pStyle w:val="TableCellBody"/>
              <w:rPr>
                <w:lang w:val="en-AU"/>
              </w:rPr>
            </w:pPr>
            <w:r w:rsidRPr="00C506B5">
              <w:rPr>
                <w:lang w:val="en-AU"/>
              </w:rPr>
              <w:t>Multiplication factor for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OFFSET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Number to add to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Model command line used in computing parameter increments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PARTIED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The name of the parameter to which another parameter is tied</w:t>
            </w:r>
            <w:r>
              <w:rPr>
                <w:lang w:val="en-AU"/>
              </w:rPr>
              <w:t>.</w:t>
            </w:r>
          </w:p>
        </w:tc>
      </w:tr>
    </w:tbl>
    <w:p w:rsidR="006E1682" w:rsidRDefault="006E1682" w:rsidP="006E1682">
      <w:pPr>
        <w:rPr>
          <w:lang w:val="en-AU"/>
        </w:rPr>
      </w:pPr>
    </w:p>
    <w:p w:rsidR="006E1682" w:rsidRDefault="006E1682" w:rsidP="006E1682">
      <w:pPr>
        <w:pStyle w:val="Caption1"/>
      </w:pPr>
    </w:p>
    <w:p w:rsidR="006E1682" w:rsidRDefault="006E1682" w:rsidP="006E1682">
      <w:pPr>
        <w:spacing w:line="240" w:lineRule="auto"/>
        <w:rPr>
          <w:b/>
          <w:lang w:val="en-AU" w:eastAsia="en-AU" w:bidi="en-US"/>
        </w:rPr>
      </w:pPr>
      <w:r>
        <w:lastRenderedPageBreak/>
        <w:br w:type="page"/>
      </w:r>
    </w:p>
    <w:p w:rsidR="006E1682" w:rsidRDefault="006E1682" w:rsidP="006E1682">
      <w:pPr>
        <w:pStyle w:val="Caption1"/>
      </w:pP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Pr="00C506B5"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Pr>
                <w:lang w:val="en-AU"/>
              </w:rPr>
              <w:t>T</w:t>
            </w:r>
            <w:r w:rsidRPr="00C506B5">
              <w:rPr>
                <w:lang w:val="en-AU"/>
              </w:rPr>
              <w: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p>
    <w:p w:rsidR="006E1682" w:rsidRDefault="006E1682" w:rsidP="006E1682">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Observation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Measured value of observation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0</w:t>
            </w:r>
            <w:r w:rsidRPr="00C506B5">
              <w:rPr>
                <w:lang w:val="en-AU"/>
              </w:rPr>
              <w:t>or greater</w:t>
            </w:r>
          </w:p>
        </w:tc>
        <w:tc>
          <w:tcPr>
            <w:tcW w:w="4172" w:type="dxa"/>
          </w:tcPr>
          <w:p w:rsidR="006E1682" w:rsidRDefault="006E1682" w:rsidP="00AE73F5">
            <w:pPr>
              <w:pStyle w:val="TableCellBody"/>
              <w:rPr>
                <w:lang w:val="en-AU"/>
              </w:rPr>
            </w:pPr>
            <w:r w:rsidRPr="00C506B5">
              <w:rPr>
                <w:lang w:val="en-AU"/>
              </w:rPr>
              <w:t>Observation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to which observation assigned</w:t>
            </w:r>
            <w:r>
              <w:rPr>
                <w:lang w:val="en-AU"/>
              </w:rPr>
              <w:t>.</w:t>
            </w:r>
          </w:p>
        </w:tc>
      </w:tr>
    </w:tbl>
    <w:p w:rsidR="006E1682" w:rsidRDefault="006E1682" w:rsidP="006E1682">
      <w:pPr>
        <w:pStyle w:val="Caption1"/>
      </w:pPr>
    </w:p>
    <w:p w:rsidR="006E1682" w:rsidRDefault="006E1682" w:rsidP="006E1682">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COMLINE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system command</w:t>
            </w:r>
          </w:p>
        </w:tc>
        <w:tc>
          <w:tcPr>
            <w:tcW w:w="4172" w:type="dxa"/>
          </w:tcPr>
          <w:p w:rsidR="006E1682" w:rsidRDefault="006E1682" w:rsidP="00AE73F5">
            <w:pPr>
              <w:pStyle w:val="TableCellBody"/>
              <w:rPr>
                <w:lang w:val="en-AU"/>
              </w:rPr>
            </w:pPr>
            <w:r w:rsidRPr="00C506B5">
              <w:rPr>
                <w:lang w:val="en-AU"/>
              </w:rPr>
              <w:t>Command to run model</w:t>
            </w:r>
            <w:r>
              <w:rPr>
                <w:lang w:val="en-AU"/>
              </w:rPr>
              <w:t>.</w:t>
            </w:r>
          </w:p>
        </w:tc>
      </w:tr>
    </w:tbl>
    <w:p w:rsidR="006E1682" w:rsidRDefault="006E1682" w:rsidP="006E1682">
      <w:pPr>
        <w:pStyle w:val="Caption1"/>
      </w:pPr>
    </w:p>
    <w:p w:rsidR="006E1682" w:rsidRDefault="006E1682" w:rsidP="006E1682">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Height w:val="557"/>
        </w:trPr>
        <w:tc>
          <w:tcPr>
            <w:tcW w:w="1923" w:type="dxa"/>
          </w:tcPr>
          <w:p w:rsidR="006E1682" w:rsidRPr="003B1E34" w:rsidRDefault="006E1682" w:rsidP="00AE73F5">
            <w:pPr>
              <w:pStyle w:val="TableCellBody"/>
              <w:rPr>
                <w:lang w:val="en-AU"/>
              </w:rPr>
            </w:pPr>
            <w:r w:rsidRPr="003B1E34">
              <w:rPr>
                <w:lang w:val="en-AU"/>
              </w:rPr>
              <w:t>TEMPFLE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Template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input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INSFLE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Instruction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OUTFLE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output file</w:t>
            </w:r>
            <w:r>
              <w:rPr>
                <w:lang w:val="en-AU"/>
              </w:rPr>
              <w:t>.</w:t>
            </w:r>
          </w:p>
        </w:tc>
      </w:tr>
    </w:tbl>
    <w:p w:rsidR="006E1682" w:rsidRDefault="006E1682" w:rsidP="006E1682">
      <w:pPr>
        <w:pStyle w:val="Caption1"/>
      </w:pPr>
    </w:p>
    <w:p w:rsidR="006E1682" w:rsidRDefault="006E1682" w:rsidP="006E1682">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lastRenderedPageBreak/>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PILBL</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Name of prior information equation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PIFAC</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 xml:space="preserve">real number other than </w:t>
            </w:r>
            <w:r>
              <w:rPr>
                <w:lang w:val="en-AU"/>
              </w:rPr>
              <w:t>0</w:t>
            </w:r>
          </w:p>
        </w:tc>
        <w:tc>
          <w:tcPr>
            <w:tcW w:w="4172" w:type="dxa"/>
          </w:tcPr>
          <w:p w:rsidR="006E1682" w:rsidRDefault="006E1682" w:rsidP="00AE73F5">
            <w:pPr>
              <w:pStyle w:val="TableCellBody"/>
              <w:rPr>
                <w:lang w:val="en-AU"/>
              </w:rPr>
            </w:pPr>
            <w:r w:rsidRPr="00C506B5">
              <w:rPr>
                <w:lang w:val="en-AU"/>
              </w:rPr>
              <w:t>Parameter value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“Observed value” of prior information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Prior information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r>
        <w:t xml:space="preserve"> </w:t>
      </w: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409"/>
        <w:gridCol w:w="4031"/>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409" w:type="dxa"/>
          </w:tcPr>
          <w:p w:rsidR="006E1682" w:rsidRDefault="006E1682" w:rsidP="00AE73F5">
            <w:pPr>
              <w:pStyle w:val="TableCellHeading"/>
              <w:rPr>
                <w:lang w:val="en-AU"/>
              </w:rPr>
            </w:pPr>
            <w:r w:rsidRPr="00C506B5">
              <w:rPr>
                <w:lang w:val="en-AU"/>
              </w:rPr>
              <w:t>Values</w:t>
            </w:r>
          </w:p>
        </w:tc>
        <w:tc>
          <w:tcPr>
            <w:tcW w:w="4031"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PHIMLIM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Target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PHIMACCEPT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PHIMLIM</w:t>
            </w:r>
          </w:p>
        </w:tc>
        <w:tc>
          <w:tcPr>
            <w:tcW w:w="4031" w:type="dxa"/>
          </w:tcPr>
          <w:p w:rsidR="006E1682" w:rsidRDefault="006E1682" w:rsidP="00AE73F5">
            <w:pPr>
              <w:pStyle w:val="TableCellBody"/>
              <w:rPr>
                <w:lang w:val="en-AU"/>
              </w:rPr>
            </w:pPr>
            <w:r w:rsidRPr="00C506B5">
              <w:rPr>
                <w:lang w:val="en-AU"/>
              </w:rPr>
              <w:t>Acceptable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FRACPHIM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o</w:t>
            </w:r>
            <w:r w:rsidRPr="00C506B5">
              <w:rPr>
                <w:lang w:val="en-AU"/>
              </w:rPr>
              <w:t xml:space="preserve">ptional; </w:t>
            </w:r>
            <w:r>
              <w:rPr>
                <w:lang w:val="en-AU"/>
              </w:rPr>
              <w:t xml:space="preserve">0 </w:t>
            </w:r>
            <w:r w:rsidRPr="00C506B5">
              <w:rPr>
                <w:lang w:val="en-AU"/>
              </w:rPr>
              <w:t xml:space="preserve">or greater, but less than </w:t>
            </w:r>
            <w:r>
              <w:rPr>
                <w:lang w:val="en-AU"/>
              </w:rPr>
              <w:t>1</w:t>
            </w:r>
          </w:p>
        </w:tc>
        <w:tc>
          <w:tcPr>
            <w:tcW w:w="4031" w:type="dxa"/>
          </w:tcPr>
          <w:p w:rsidR="006E1682" w:rsidRDefault="006E1682" w:rsidP="00AE73F5">
            <w:pPr>
              <w:pStyle w:val="TableCellBody"/>
              <w:rPr>
                <w:lang w:val="en-AU"/>
              </w:rPr>
            </w:pPr>
            <w:r w:rsidRPr="00C506B5">
              <w:rPr>
                <w:lang w:val="en-AU"/>
              </w:rPr>
              <w:t>Set target measurement objective function at this fraction of current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MEMSAVE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Activate conservation of memory at cost of execution speed and quantity of model output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WFINIT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Initial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WFMIN</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Minimum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WFMAX</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WFMAX</w:t>
            </w:r>
          </w:p>
        </w:tc>
        <w:tc>
          <w:tcPr>
            <w:tcW w:w="4031" w:type="dxa"/>
          </w:tcPr>
          <w:p w:rsidR="006E1682" w:rsidRDefault="006E1682" w:rsidP="00AE73F5">
            <w:pPr>
              <w:pStyle w:val="TableCellBody"/>
              <w:rPr>
                <w:lang w:val="en-AU"/>
              </w:rPr>
            </w:pPr>
            <w:r w:rsidRPr="00C506B5">
              <w:rPr>
                <w:lang w:val="en-AU"/>
              </w:rPr>
              <w:t>Maximum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LINREG</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REGCONTINUE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WFFAC</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1</w:t>
            </w:r>
          </w:p>
        </w:tc>
        <w:tc>
          <w:tcPr>
            <w:tcW w:w="4031" w:type="dxa"/>
          </w:tcPr>
          <w:p w:rsidR="006E1682" w:rsidRDefault="006E1682" w:rsidP="00AE73F5">
            <w:pPr>
              <w:pStyle w:val="TableCellBody"/>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WFTOL</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IREGADJ</w:t>
            </w:r>
          </w:p>
        </w:tc>
        <w:tc>
          <w:tcPr>
            <w:tcW w:w="879" w:type="dxa"/>
          </w:tcPr>
          <w:p w:rsidR="006E1682" w:rsidRDefault="006E1682" w:rsidP="00AE73F5">
            <w:pPr>
              <w:pStyle w:val="TableCellBody"/>
              <w:rPr>
                <w:lang w:val="en-AU"/>
              </w:rPr>
            </w:pPr>
            <w:r w:rsidRPr="00C506B5">
              <w:rPr>
                <w:lang w:val="en-AU"/>
              </w:rPr>
              <w:t>Integer</w:t>
            </w:r>
          </w:p>
        </w:tc>
        <w:tc>
          <w:tcPr>
            <w:tcW w:w="2409" w:type="dxa"/>
          </w:tcPr>
          <w:p w:rsidR="006E1682" w:rsidRDefault="006E1682" w:rsidP="00AE73F5">
            <w:pPr>
              <w:pStyle w:val="TableCellBody"/>
              <w:rPr>
                <w:lang w:val="en-AU"/>
              </w:rPr>
            </w:pPr>
            <w:r>
              <w:rPr>
                <w:lang w:val="en-AU"/>
              </w:rPr>
              <w:t>0, 1, 2, 3, 4, or 5</w:t>
            </w:r>
          </w:p>
        </w:tc>
        <w:tc>
          <w:tcPr>
            <w:tcW w:w="4031" w:type="dxa"/>
          </w:tcPr>
          <w:p w:rsidR="006E1682" w:rsidRDefault="006E1682" w:rsidP="00AE73F5">
            <w:pPr>
              <w:pStyle w:val="TableCellBody"/>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NOPTREGADJ</w:t>
            </w:r>
          </w:p>
        </w:tc>
        <w:tc>
          <w:tcPr>
            <w:tcW w:w="879" w:type="dxa"/>
          </w:tcPr>
          <w:p w:rsidR="006E1682" w:rsidRDefault="006E1682" w:rsidP="00AE73F5">
            <w:pPr>
              <w:pStyle w:val="TableCellBody"/>
              <w:rPr>
                <w:lang w:val="en-AU"/>
              </w:rPr>
            </w:pPr>
            <w:r>
              <w:rPr>
                <w:lang w:val="en-AU"/>
              </w:rPr>
              <w:t>Integer</w:t>
            </w:r>
          </w:p>
        </w:tc>
        <w:tc>
          <w:tcPr>
            <w:tcW w:w="2409" w:type="dxa"/>
          </w:tcPr>
          <w:p w:rsidR="006E1682" w:rsidRDefault="006E1682" w:rsidP="00AE73F5">
            <w:pPr>
              <w:pStyle w:val="TableCellBody"/>
              <w:rPr>
                <w:lang w:val="en-AU"/>
              </w:rPr>
            </w:pPr>
            <w:r>
              <w:rPr>
                <w:lang w:val="en-AU"/>
              </w:rPr>
              <w:t>1 or greater</w:t>
            </w:r>
          </w:p>
        </w:tc>
        <w:tc>
          <w:tcPr>
            <w:tcW w:w="4031" w:type="dxa"/>
          </w:tcPr>
          <w:p w:rsidR="006E1682" w:rsidRDefault="006E1682" w:rsidP="00AE73F5">
            <w:pPr>
              <w:pStyle w:val="TableCellBody"/>
              <w:rPr>
                <w:lang w:val="en-AU"/>
              </w:rPr>
            </w:pPr>
            <w:r>
              <w:rPr>
                <w:lang w:val="en-AU"/>
              </w:rPr>
              <w:t>The optimization iteration interval for recalculation of regularization weights if IREGADJ is 4 or 5.</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REGWEIGHTRAT</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absolute value of 1 or greater</w:t>
            </w:r>
          </w:p>
        </w:tc>
        <w:tc>
          <w:tcPr>
            <w:tcW w:w="4031" w:type="dxa"/>
          </w:tcPr>
          <w:p w:rsidR="006E1682" w:rsidRDefault="006E1682" w:rsidP="00AE73F5">
            <w:pPr>
              <w:pStyle w:val="TableCellBody"/>
              <w:rPr>
                <w:lang w:val="en-AU"/>
              </w:rPr>
            </w:pPr>
            <w:r>
              <w:rPr>
                <w:lang w:val="en-AU"/>
              </w:rPr>
              <w:t>The ratio of highest to lowest regularization weight; spread is logarithmic with null space projection if set negative.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REGSINGTHRESH</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less than 1 and greater than 0</w:t>
            </w:r>
          </w:p>
        </w:tc>
        <w:tc>
          <w:tcPr>
            <w:tcW w:w="4031" w:type="dxa"/>
          </w:tcPr>
          <w:p w:rsidR="006E1682" w:rsidRDefault="006E1682" w:rsidP="00AE73F5">
            <w:pPr>
              <w:pStyle w:val="TableCellBody"/>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6E1682" w:rsidRDefault="006E1682" w:rsidP="006E1682">
      <w:pPr>
        <w:rPr>
          <w:lang w:val="en-AU"/>
        </w:rPr>
      </w:pPr>
    </w:p>
    <w:p w:rsidR="006E1682" w:rsidRDefault="006E1682" w:rsidP="006E1682">
      <w:pPr>
        <w:pStyle w:val="Heading2"/>
      </w:pPr>
      <w:bookmarkStart w:id="6" w:name="_Toc309659346"/>
      <w:bookmarkStart w:id="7" w:name="_Toc296069514"/>
      <w:r>
        <w:t>PEST++ Additions to the PEST Control File</w:t>
      </w:r>
      <w:bookmarkEnd w:id="6"/>
      <w:bookmarkEnd w:id="7"/>
    </w:p>
    <w:p w:rsidR="006E1682" w:rsidRDefault="006E1682" w:rsidP="006E1682">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xml:space="preserve">”. Although the examples provided in this report place all PEST++ input in a single section at the end of the PEST control file, this is not a requirement. This information does not need to be contiguous and can </w:t>
      </w:r>
      <w:r>
        <w:lastRenderedPageBreak/>
        <w:t>reside anywhere in the file. Lines starting with “++#” are considered comments and are ignored by PEST and PEST++.</w:t>
      </w:r>
    </w:p>
    <w:p w:rsidR="006E1682" w:rsidRPr="00754B37" w:rsidRDefault="006E1682" w:rsidP="006E1682">
      <w:pPr>
        <w:pStyle w:val="BodyText"/>
      </w:pPr>
      <w:r w:rsidRPr="00754B37">
        <w:t>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w:t>
      </w:r>
      <w:proofErr w:type="gramStart"/>
      <w:r w:rsidRPr="00754B37">
        <w:t>BASE(</w:t>
      </w:r>
      <w:proofErr w:type="gramEnd"/>
      <w:r w:rsidRPr="00754B37">
        <w:t>1) specifies N_ITER_BASE=1), these could just as well be replaced by white spaces (for example, ++N_ITER_BASE 1 also specifies N_ITER_BASE=1). Table 1–2 includes a listing and explanation of the permissible PEST++ keywords.</w:t>
      </w:r>
    </w:p>
    <w:p w:rsidR="006E1682" w:rsidRPr="00A431AC" w:rsidRDefault="006E1682" w:rsidP="006E1682">
      <w:pPr>
        <w:pStyle w:val="TableTitle"/>
        <w:numPr>
          <w:ilvl w:val="0"/>
          <w:numId w:val="0"/>
        </w:numPr>
        <w:rPr>
          <w:lang w:eastAsia="en-AU"/>
        </w:rPr>
      </w:pPr>
      <w:bookmarkStart w:id="8" w:name="_Toc296069749"/>
      <w:r w:rsidRPr="00DA48DE">
        <w:rPr>
          <w:b/>
          <w:lang w:eastAsia="en-AU"/>
        </w:rPr>
        <w:t>Table 1–2.</w:t>
      </w:r>
      <w:r w:rsidRPr="00AC6499">
        <w:rPr>
          <w:lang w:eastAsia="en-AU"/>
        </w:rPr>
        <w:t xml:space="preserve"> </w:t>
      </w:r>
      <w:r>
        <w:rPr>
          <w:lang w:eastAsia="en-AU"/>
        </w:rPr>
        <w:t> </w:t>
      </w:r>
      <w:proofErr w:type="gramStart"/>
      <w:r w:rsidRPr="00A431AC">
        <w:rPr>
          <w:lang w:eastAsia="en-AU"/>
        </w:rPr>
        <w:t xml:space="preserve">PEST++ </w:t>
      </w:r>
      <w:r>
        <w:rPr>
          <w:lang w:eastAsia="en-AU"/>
        </w:rPr>
        <w:t>optional arguments.</w:t>
      </w:r>
      <w:bookmarkEnd w:id="8"/>
      <w:proofErr w:type="gramEnd"/>
    </w:p>
    <w:tbl>
      <w:tblPr>
        <w:tblW w:w="10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58" w:type="dxa"/>
        </w:tblCellMar>
        <w:tblLook w:val="01E0"/>
      </w:tblPr>
      <w:tblGrid>
        <w:gridCol w:w="3355"/>
        <w:gridCol w:w="1350"/>
        <w:gridCol w:w="1957"/>
        <w:gridCol w:w="3619"/>
      </w:tblGrid>
      <w:tr w:rsidR="006E1682" w:rsidRPr="00C506B5" w:rsidTr="00AE73F5">
        <w:trPr>
          <w:cantSplit/>
          <w:jc w:val="center"/>
        </w:trPr>
        <w:tc>
          <w:tcPr>
            <w:tcW w:w="3355" w:type="dxa"/>
            <w:shd w:val="clear" w:color="auto" w:fill="auto"/>
          </w:tcPr>
          <w:p w:rsidR="006E1682" w:rsidRDefault="006E1682" w:rsidP="00AE73F5">
            <w:pPr>
              <w:pStyle w:val="TableCellHeading"/>
              <w:rPr>
                <w:lang w:val="en-AU"/>
              </w:rPr>
            </w:pPr>
            <w:r w:rsidRPr="00C506B5">
              <w:rPr>
                <w:lang w:val="en-AU"/>
              </w:rPr>
              <w:t>Variable</w:t>
            </w:r>
          </w:p>
        </w:tc>
        <w:tc>
          <w:tcPr>
            <w:tcW w:w="1350" w:type="dxa"/>
            <w:shd w:val="clear" w:color="auto" w:fill="auto"/>
          </w:tcPr>
          <w:p w:rsidR="006E1682" w:rsidRDefault="006E1682" w:rsidP="00AE73F5">
            <w:pPr>
              <w:pStyle w:val="TableCellHeading"/>
              <w:rPr>
                <w:lang w:val="en-AU"/>
              </w:rPr>
            </w:pPr>
            <w:r w:rsidRPr="00C506B5">
              <w:rPr>
                <w:lang w:val="en-AU"/>
              </w:rPr>
              <w:t>Type</w:t>
            </w:r>
          </w:p>
        </w:tc>
        <w:tc>
          <w:tcPr>
            <w:tcW w:w="1957" w:type="dxa"/>
            <w:shd w:val="clear" w:color="auto" w:fill="auto"/>
          </w:tcPr>
          <w:p w:rsidR="006E1682" w:rsidRDefault="006E1682" w:rsidP="00AE73F5">
            <w:pPr>
              <w:pStyle w:val="TableCellHeading"/>
              <w:rPr>
                <w:lang w:val="en-AU"/>
              </w:rPr>
            </w:pPr>
            <w:r w:rsidRPr="00C506B5">
              <w:rPr>
                <w:lang w:val="en-AU"/>
              </w:rPr>
              <w:t>Values</w:t>
            </w:r>
          </w:p>
        </w:tc>
        <w:tc>
          <w:tcPr>
            <w:tcW w:w="3619" w:type="dxa"/>
            <w:shd w:val="clear" w:color="auto" w:fill="auto"/>
          </w:tcPr>
          <w:p w:rsidR="006E1682" w:rsidRDefault="006E1682" w:rsidP="00AE73F5">
            <w:pPr>
              <w:pStyle w:val="TableCellHeading"/>
              <w:rPr>
                <w:lang w:val="en-AU"/>
              </w:rPr>
            </w:pPr>
            <w:r w:rsidRPr="00C506B5">
              <w:rPr>
                <w:lang w:val="en-AU"/>
              </w:rPr>
              <w:t>Description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N_ITER_BASE</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1 or greater</w:t>
            </w:r>
          </w:p>
        </w:tc>
        <w:tc>
          <w:tcPr>
            <w:tcW w:w="3619" w:type="dxa"/>
            <w:shd w:val="clear" w:color="auto" w:fill="auto"/>
          </w:tcPr>
          <w:p w:rsidR="006E1682" w:rsidRDefault="006E1682" w:rsidP="00AE73F5">
            <w:pPr>
              <w:pStyle w:val="TableCellBody"/>
              <w:rPr>
                <w:lang w:val="en-AU"/>
              </w:rPr>
            </w:pPr>
            <w:r>
              <w:rPr>
                <w:lang w:val="en-AU"/>
              </w:rPr>
              <w:t xml:space="preserve">Number of base parameter iterations performed for each </w:t>
            </w:r>
            <w:proofErr w:type="spellStart"/>
            <w:r>
              <w:rPr>
                <w:lang w:val="en-AU"/>
              </w:rPr>
              <w:t>superparameter</w:t>
            </w:r>
            <w:proofErr w:type="spellEnd"/>
            <w:r>
              <w:rPr>
                <w:lang w:val="en-AU"/>
              </w:rPr>
              <w:t xml:space="preserve">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0 or greater</w:t>
            </w:r>
          </w:p>
        </w:tc>
        <w:tc>
          <w:tcPr>
            <w:tcW w:w="3619" w:type="dxa"/>
            <w:shd w:val="clear" w:color="auto" w:fill="auto"/>
          </w:tcPr>
          <w:p w:rsidR="006E1682" w:rsidRDefault="006E1682" w:rsidP="00AE73F5">
            <w:pPr>
              <w:pStyle w:val="TableCellBody"/>
              <w:rPr>
                <w:lang w:val="en-AU"/>
              </w:rPr>
            </w:pPr>
            <w:r>
              <w:rPr>
                <w:lang w:val="en-AU"/>
              </w:rPr>
              <w:t xml:space="preserve">Number of </w:t>
            </w:r>
            <w:proofErr w:type="spellStart"/>
            <w:r>
              <w:rPr>
                <w:lang w:val="en-AU"/>
              </w:rPr>
              <w:t>superparameter</w:t>
            </w:r>
            <w:proofErr w:type="spellEnd"/>
            <w:r>
              <w:rPr>
                <w:lang w:val="en-AU"/>
              </w:rPr>
              <w:t xml:space="preserve"> iterations performed for each base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SUPER_EIGTHRES</w:t>
            </w:r>
          </w:p>
        </w:tc>
        <w:tc>
          <w:tcPr>
            <w:tcW w:w="1350" w:type="dxa"/>
            <w:shd w:val="clear" w:color="auto" w:fill="auto"/>
          </w:tcPr>
          <w:p w:rsidR="006E1682" w:rsidRPr="00C506B5" w:rsidRDefault="006E1682" w:rsidP="00AE73F5">
            <w:pPr>
              <w:pStyle w:val="TableCellBody"/>
              <w:rPr>
                <w:lang w:val="en-AU"/>
              </w:rPr>
            </w:pPr>
            <w:r>
              <w:rPr>
                <w:lang w:val="en-AU"/>
              </w:rPr>
              <w:t>Real</w:t>
            </w:r>
          </w:p>
        </w:tc>
        <w:tc>
          <w:tcPr>
            <w:tcW w:w="1957" w:type="dxa"/>
            <w:shd w:val="clear" w:color="auto" w:fill="auto"/>
          </w:tcPr>
          <w:p w:rsidR="006E1682" w:rsidRDefault="006E1682" w:rsidP="00AE73F5">
            <w:pPr>
              <w:pStyle w:val="TableCellBody"/>
              <w:rPr>
                <w:lang w:val="en-AU"/>
              </w:rPr>
            </w:pPr>
            <w:r>
              <w:rPr>
                <w:lang w:val="en-AU"/>
              </w:rPr>
              <w:t>any positive number (typically should be greater than 1.0E−7)</w:t>
            </w:r>
          </w:p>
        </w:tc>
        <w:tc>
          <w:tcPr>
            <w:tcW w:w="3619" w:type="dxa"/>
            <w:shd w:val="clear" w:color="auto" w:fill="auto"/>
          </w:tcPr>
          <w:p w:rsidR="006E1682" w:rsidRDefault="006E1682" w:rsidP="00AE73F5">
            <w:pPr>
              <w:pStyle w:val="TableCellBody"/>
              <w:rPr>
                <w:lang w:val="en-AU"/>
              </w:rPr>
            </w:pPr>
            <w:r w:rsidRPr="009D3A76">
              <w:rPr>
                <w:rFonts w:eastAsia="Adobe Fan Heiti Std B"/>
                <w:lang w:val="en-AU"/>
              </w:rPr>
              <w:t>PE</w:t>
            </w:r>
            <w:r>
              <w:rPr>
                <w:rFonts w:eastAsia="Adobe Fan Heiti Std B"/>
                <w:lang w:val="en-AU"/>
              </w:rPr>
              <w:t xml:space="preserve">ST++ will not include any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who</w:t>
            </w:r>
            <w:r>
              <w:rPr>
                <w:rFonts w:eastAsia="Adobe Fan Heiti Std B"/>
                <w:lang w:val="en-AU"/>
              </w:rPr>
              <w:t xml:space="preserve">se ratio with the largest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is less than this ratio.</w:t>
            </w:r>
            <w:r>
              <w:rPr>
                <w:rFonts w:eastAsia="Adobe Fan Heiti Std B"/>
                <w:lang w:val="en-AU"/>
              </w:rPr>
              <w:t xml:space="preserve"> </w:t>
            </w:r>
            <w:r w:rsidRPr="009D3A76">
              <w:rPr>
                <w:rFonts w:eastAsia="Adobe Fan Heiti Std B"/>
                <w:lang w:val="en-AU"/>
              </w:rPr>
              <w:t>This value can as small as zero if the user wants</w:t>
            </w:r>
            <w:r>
              <w:rPr>
                <w:rFonts w:eastAsia="Adobe Fan Heiti Std B"/>
                <w:lang w:val="en-AU"/>
              </w:rPr>
              <w:t xml:space="preserve"> to specify the number of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solely with </w:t>
            </w:r>
            <w:r w:rsidRPr="00DA48DE">
              <w:rPr>
                <w:rStyle w:val="Technical2"/>
                <w:rFonts w:ascii="Courier New" w:eastAsia="Adobe Fan Heiti Std B" w:hAnsi="Courier New" w:cs="Courier New"/>
                <w:szCs w:val="20"/>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DA48DE">
              <w:rPr>
                <w:rStyle w:val="Technical2"/>
                <w:rFonts w:ascii="Times New Roman" w:eastAsia="Adobe Fan Heiti Std B" w:hAnsi="Times New Roman"/>
                <w:szCs w:val="20"/>
              </w:rPr>
              <w:t>Because</w:t>
            </w:r>
            <w:r>
              <w:rPr>
                <w:rStyle w:val="Technical2"/>
                <w:rFonts w:ascii="Times New Roman" w:eastAsia="Adobe Fan Heiti Std B" w:hAnsi="Times New Roman"/>
                <w:szCs w:val="20"/>
              </w:rPr>
              <w:t xml:space="preserve"> </w:t>
            </w:r>
            <w:r>
              <w:rPr>
                <w:rFonts w:eastAsia="Adobe Fan Heiti Std B"/>
                <w:lang w:val="en-AU"/>
              </w:rPr>
              <w:t xml:space="preserve">PEST++uses SVD on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MAX_N_SUPER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integer between 1 and the minimum either of maximum number of parameters or the maximum number of observations</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w:t>
            </w:r>
            <w:proofErr w:type="spellStart"/>
            <w:r>
              <w:rPr>
                <w:rFonts w:eastAsia="Adobe Fan Heiti Std B"/>
                <w:lang w:val="en-AU"/>
              </w:rPr>
              <w:t>superparameters</w:t>
            </w:r>
            <w:proofErr w:type="spellEnd"/>
            <w:r>
              <w:rPr>
                <w:rFonts w:eastAsia="Adobe Fan Heiti Std B"/>
                <w:lang w:val="en-AU"/>
              </w:rPr>
              <w:t xml:space="preserve"> to use in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highlight w:val="white"/>
              </w:rPr>
              <w:lastRenderedPageBreak/>
              <w:t>MAX_REG_ITER</w:t>
            </w:r>
          </w:p>
          <w:p w:rsidR="006E1682" w:rsidRPr="00754B37" w:rsidRDefault="006E1682" w:rsidP="00AE73F5">
            <w:pPr>
              <w:pStyle w:val="TableCellBody"/>
              <w:rPr>
                <w:rStyle w:val="Technical2"/>
                <w:rFonts w:ascii="Times New Roman" w:hAnsi="Times New Roman"/>
                <w:lang w:val="en-US"/>
              </w:rPr>
            </w:pP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Default="006E1682" w:rsidP="00AE73F5">
            <w:pPr>
              <w:pStyle w:val="TableCellBody"/>
              <w:rPr>
                <w:lang w:val="en-AU"/>
              </w:rPr>
            </w:pPr>
            <w:r>
              <w:rPr>
                <w:lang w:val="en-AU"/>
              </w:rPr>
              <w:t>integer greater than 1; default is 20</w:t>
            </w:r>
          </w:p>
        </w:tc>
        <w:tc>
          <w:tcPr>
            <w:tcW w:w="3619" w:type="dxa"/>
            <w:shd w:val="clear" w:color="auto" w:fill="auto"/>
          </w:tcPr>
          <w:p w:rsidR="006E1682" w:rsidRDefault="006E1682" w:rsidP="00AE73F5">
            <w:pPr>
              <w:pStyle w:val="TableCellBody"/>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slowdown, especially in early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MAX_SUPER_FRZ_ITER</w:t>
            </w: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Pr="00953484" w:rsidRDefault="006E1682" w:rsidP="00AE73F5">
            <w:pPr>
              <w:pStyle w:val="TableCellBody"/>
              <w:rPr>
                <w:lang w:val="en-AU"/>
              </w:rPr>
            </w:pPr>
            <w:r w:rsidRPr="003B1E34">
              <w:t>1 or greater</w:t>
            </w:r>
            <w:r>
              <w:t>; d</w:t>
            </w:r>
            <w:r w:rsidRPr="003B1E34">
              <w:t>efault value is 5</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times </w:t>
            </w:r>
            <w:proofErr w:type="gramStart"/>
            <w:r>
              <w:rPr>
                <w:rFonts w:eastAsia="Adobe Fan Heiti Std B"/>
                <w:lang w:val="en-AU"/>
              </w:rPr>
              <w:t xml:space="preserve">a </w:t>
            </w:r>
            <w:proofErr w:type="spellStart"/>
            <w:r>
              <w:rPr>
                <w:rFonts w:eastAsia="Adobe Fan Heiti Std B"/>
                <w:lang w:val="en-AU"/>
              </w:rPr>
              <w:t>superparameter</w:t>
            </w:r>
            <w:proofErr w:type="spellEnd"/>
            <w:proofErr w:type="gramEnd"/>
            <w:r>
              <w:rPr>
                <w:rFonts w:eastAsia="Adobe Fan Heiti Std B"/>
                <w:lang w:val="en-AU"/>
              </w:rPr>
              <w:t xml:space="preserve">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w:t>
            </w:r>
            <w:r w:rsidRPr="00100E90">
              <w:rPr>
                <w:rFonts w:ascii="Courier New" w:eastAsia="Adobe Fan Heiti Std B" w:hAnsi="Courier New" w:cs="Courier New"/>
                <w:lang w:val="en-AU"/>
              </w:rPr>
              <w:t>MAX_SUPER_FRZ_ITER</w:t>
            </w:r>
            <w:r>
              <w:rPr>
                <w:rFonts w:eastAsia="Adobe Fan Heiti Std B"/>
                <w:lang w:val="en-AU"/>
              </w:rPr>
              <w:t xml:space="preserve">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t xml:space="preserve">AUTO_NORM(4) </w:t>
            </w:r>
          </w:p>
        </w:tc>
        <w:tc>
          <w:tcPr>
            <w:tcW w:w="1350" w:type="dxa"/>
            <w:shd w:val="clear" w:color="auto" w:fill="auto"/>
          </w:tcPr>
          <w:p w:rsidR="006E1682" w:rsidRPr="00953484" w:rsidRDefault="006E1682" w:rsidP="00AE73F5">
            <w:pPr>
              <w:pStyle w:val="TableCellBody"/>
              <w:rPr>
                <w:lang w:val="en-AU"/>
              </w:rPr>
            </w:pPr>
            <w:r w:rsidRPr="003B1E34">
              <w:t xml:space="preserve">Integer </w:t>
            </w:r>
          </w:p>
        </w:tc>
        <w:tc>
          <w:tcPr>
            <w:tcW w:w="1957" w:type="dxa"/>
            <w:shd w:val="clear" w:color="auto" w:fill="auto"/>
          </w:tcPr>
          <w:p w:rsidR="006E1682" w:rsidRPr="00953484" w:rsidRDefault="006E1682" w:rsidP="00AE73F5">
            <w:pPr>
              <w:pStyle w:val="TableCellBody"/>
              <w:rPr>
                <w:lang w:val="en-AU"/>
              </w:rPr>
            </w:pPr>
            <w:r w:rsidRPr="003B1E34">
              <w:t>1 or greater</w:t>
            </w:r>
            <w:r>
              <w:t>; default is no scaling</w:t>
            </w:r>
          </w:p>
        </w:tc>
        <w:tc>
          <w:tcPr>
            <w:tcW w:w="3619" w:type="dxa"/>
            <w:shd w:val="clear" w:color="auto" w:fill="auto"/>
          </w:tcPr>
          <w:p w:rsidR="006E1682" w:rsidRDefault="006E1682" w:rsidP="00AE73F5">
            <w:pPr>
              <w:pStyle w:val="TableCellBody"/>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SVD_PACK(PROPACK)</w:t>
            </w:r>
          </w:p>
        </w:tc>
        <w:tc>
          <w:tcPr>
            <w:tcW w:w="1350" w:type="dxa"/>
            <w:shd w:val="clear" w:color="auto" w:fill="auto"/>
          </w:tcPr>
          <w:p w:rsidR="006E1682" w:rsidRPr="003B1E34" w:rsidRDefault="006E1682" w:rsidP="00AE73F5">
            <w:pPr>
              <w:pStyle w:val="TableCellBody"/>
            </w:pPr>
            <w:r>
              <w:t>String</w:t>
            </w:r>
          </w:p>
          <w:p w:rsidR="006E1682" w:rsidRPr="00953484" w:rsidRDefault="006E1682" w:rsidP="00AE73F5">
            <w:pPr>
              <w:pStyle w:val="TableCellBody"/>
              <w:rPr>
                <w:lang w:val="en-AU"/>
              </w:rPr>
            </w:pPr>
          </w:p>
        </w:tc>
        <w:tc>
          <w:tcPr>
            <w:tcW w:w="1957" w:type="dxa"/>
            <w:shd w:val="clear" w:color="auto" w:fill="auto"/>
          </w:tcPr>
          <w:p w:rsidR="006E1682" w:rsidRPr="00AE7EA9" w:rsidRDefault="006E1682" w:rsidP="00AE73F5">
            <w:pPr>
              <w:pStyle w:val="TableCellBody"/>
              <w:rPr>
                <w:lang w:val="en-AU"/>
              </w:rPr>
            </w:pPr>
            <w:r>
              <w:rPr>
                <w:lang w:val="en-AU"/>
              </w:rPr>
              <w:t>“JACOBI” or “PROPACK; default is “JACOBI”</w:t>
            </w:r>
          </w:p>
        </w:tc>
        <w:tc>
          <w:tcPr>
            <w:tcW w:w="3619" w:type="dxa"/>
            <w:shd w:val="clear" w:color="auto" w:fill="auto"/>
          </w:tcPr>
          <w:p w:rsidR="006E1682" w:rsidRPr="009D3A76" w:rsidRDefault="006E1682" w:rsidP="00AE73F5">
            <w:pPr>
              <w:pStyle w:val="TableCellBody"/>
              <w:rPr>
                <w:rFonts w:eastAsia="Adobe Fan Heiti Std B"/>
              </w:rPr>
            </w:pPr>
            <w:r w:rsidRPr="009D3A76">
              <w:rPr>
                <w:rFonts w:eastAsia="Adobe Fan Heiti Std B"/>
              </w:rPr>
              <w:t>Flag to use PROPACK to compute SVD factorizations</w:t>
            </w:r>
            <w:r>
              <w:rPr>
                <w:rFonts w:eastAsia="Adobe Fan Heiti Std B"/>
              </w:rPr>
              <w:t>. “JACOBI” is the SVD provided by the EIGEN library; “PROPACK” is the iterative SVD factorization suitable for large problems.</w:t>
            </w:r>
          </w:p>
          <w:p w:rsidR="006E1682" w:rsidRDefault="006E1682" w:rsidP="00AE73F5">
            <w:pPr>
              <w:pStyle w:val="TableCellBody"/>
              <w:rPr>
                <w:lang w:val="en-AU"/>
              </w:rPr>
            </w:pP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MAT_INV</w:t>
            </w:r>
          </w:p>
        </w:tc>
        <w:tc>
          <w:tcPr>
            <w:tcW w:w="1350" w:type="dxa"/>
            <w:shd w:val="clear" w:color="auto" w:fill="auto"/>
          </w:tcPr>
          <w:p w:rsidR="006E1682" w:rsidRDefault="006E1682" w:rsidP="00AE73F5">
            <w:pPr>
              <w:pStyle w:val="TableCellBody"/>
              <w:rPr>
                <w:lang w:val="en-AU"/>
              </w:rPr>
            </w:pPr>
            <w:r w:rsidRPr="00AE732D">
              <w:t>String</w:t>
            </w:r>
          </w:p>
        </w:tc>
        <w:tc>
          <w:tcPr>
            <w:tcW w:w="1957" w:type="dxa"/>
            <w:shd w:val="clear" w:color="auto" w:fill="auto"/>
          </w:tcPr>
          <w:p w:rsidR="006E1682" w:rsidRDefault="006E1682" w:rsidP="00AE73F5">
            <w:pPr>
              <w:pStyle w:val="TableCellBody"/>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6E1682" w:rsidRDefault="006E1682" w:rsidP="00AE73F5">
            <w:pPr>
              <w:pStyle w:val="TableCellBody"/>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SUPER_RELPARMAX</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xml:space="preserve">; default is </w:t>
            </w:r>
            <w:r w:rsidRPr="00F321A1">
              <w:rPr>
                <w:lang w:val="en-AU"/>
              </w:rPr>
              <w:t>0.1</w:t>
            </w:r>
          </w:p>
        </w:tc>
        <w:tc>
          <w:tcPr>
            <w:tcW w:w="3619" w:type="dxa"/>
            <w:shd w:val="clear" w:color="auto" w:fill="auto"/>
          </w:tcPr>
          <w:p w:rsidR="006E1682" w:rsidRDefault="006E1682" w:rsidP="00AE73F5">
            <w:pPr>
              <w:pStyle w:val="TableCellBody"/>
              <w:rPr>
                <w:rFonts w:ascii="Arial Narrow" w:hAnsi="Arial Narrow"/>
                <w:lang w:val="en-AU"/>
              </w:rPr>
            </w:pPr>
            <w:r w:rsidRPr="00AE732D">
              <w:rPr>
                <w:lang w:val="en-AU"/>
              </w:rPr>
              <w:t xml:space="preserve">Parameter </w:t>
            </w:r>
            <w:r>
              <w:rPr>
                <w:lang w:val="en-AU"/>
              </w:rPr>
              <w:t xml:space="preserve">relative change limit for </w:t>
            </w:r>
            <w:proofErr w:type="spellStart"/>
            <w:r>
              <w:rPr>
                <w:lang w:val="en-AU"/>
              </w:rPr>
              <w:t>super</w:t>
            </w:r>
            <w:r w:rsidRPr="00AE732D">
              <w:rPr>
                <w:lang w:val="en-AU"/>
              </w:rPr>
              <w:t>parameters</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MAX_RUN_FAIL</w:t>
            </w:r>
          </w:p>
        </w:tc>
        <w:tc>
          <w:tcPr>
            <w:tcW w:w="1350" w:type="dxa"/>
            <w:shd w:val="clear" w:color="auto" w:fill="auto"/>
          </w:tcPr>
          <w:p w:rsidR="006E1682" w:rsidRDefault="006E1682" w:rsidP="00AE73F5">
            <w:pPr>
              <w:pStyle w:val="TableCellBody"/>
              <w:rPr>
                <w:rFonts w:ascii="Arial Narrow" w:hAnsi="Arial Narrow"/>
                <w:lang w:val="en-AU"/>
              </w:rPr>
            </w:pPr>
            <w:r>
              <w:t>Integer</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default is 3</w:t>
            </w:r>
          </w:p>
        </w:tc>
        <w:tc>
          <w:tcPr>
            <w:tcW w:w="3619" w:type="dxa"/>
            <w:shd w:val="clear" w:color="auto" w:fill="auto"/>
          </w:tcPr>
          <w:p w:rsidR="006E1682" w:rsidRDefault="006E1682" w:rsidP="00AE73F5">
            <w:pPr>
              <w:pStyle w:val="TableCellBody"/>
              <w:rPr>
                <w:rFonts w:ascii="Arial Narrow" w:hAnsi="Arial Narrow"/>
                <w:lang w:val="en-AU"/>
              </w:rPr>
            </w:pPr>
            <w:r>
              <w:rPr>
                <w:lang w:val="en-AU"/>
              </w:rPr>
              <w:t>Maximum times the run manager will try to rerun a failed run.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LAMBDAS</w:t>
            </w:r>
          </w:p>
        </w:tc>
        <w:tc>
          <w:tcPr>
            <w:tcW w:w="1350" w:type="dxa"/>
            <w:shd w:val="clear" w:color="auto" w:fill="auto"/>
          </w:tcPr>
          <w:p w:rsidR="006E1682" w:rsidRDefault="006E1682" w:rsidP="00AE73F5">
            <w:pPr>
              <w:pStyle w:val="TableCellBody"/>
              <w:rPr>
                <w:rFonts w:ascii="Arial Narrow" w:hAnsi="Arial Narrow"/>
                <w:lang w:val="en-AU"/>
              </w:rPr>
            </w:pPr>
            <w:r>
              <w:t xml:space="preserve">Comma-separated list of </w:t>
            </w:r>
            <w:proofErr w:type="spellStart"/>
            <w:r>
              <w:t>reals</w:t>
            </w:r>
            <w:proofErr w:type="spellEnd"/>
          </w:p>
        </w:tc>
        <w:tc>
          <w:tcPr>
            <w:tcW w:w="1957" w:type="dxa"/>
            <w:shd w:val="clear" w:color="auto" w:fill="auto"/>
          </w:tcPr>
          <w:p w:rsidR="006E1682" w:rsidRDefault="006E1682" w:rsidP="00AE73F5">
            <w:pPr>
              <w:pStyle w:val="TableCellBody"/>
              <w:rPr>
                <w:rFonts w:ascii="Arial Narrow" w:hAnsi="Arial Narrow"/>
                <w:lang w:val="en-AU"/>
              </w:rPr>
            </w:pPr>
            <w:r>
              <w:rPr>
                <w:lang w:val="en-AU"/>
              </w:rPr>
              <w:t>greater than 0; default is (0.01,1,10,100,1000)</w:t>
            </w:r>
          </w:p>
        </w:tc>
        <w:tc>
          <w:tcPr>
            <w:tcW w:w="3619" w:type="dxa"/>
            <w:shd w:val="clear" w:color="auto" w:fill="auto"/>
          </w:tcPr>
          <w:p w:rsidR="006E1682" w:rsidRPr="00F321A1" w:rsidRDefault="006E1682" w:rsidP="00AE73F5">
            <w:pPr>
              <w:pStyle w:val="TableCellBody"/>
              <w:rPr>
                <w:lang w:val="en-AU"/>
              </w:rPr>
            </w:pPr>
            <w:r>
              <w:rPr>
                <w:lang w:val="en-AU"/>
              </w:rPr>
              <w:t xml:space="preserve">Specify the standard values of lambda to be used </w:t>
            </w:r>
            <w:proofErr w:type="gramStart"/>
            <w:r>
              <w:rPr>
                <w:lang w:val="en-AU"/>
              </w:rPr>
              <w:t>each iteration</w:t>
            </w:r>
            <w:proofErr w:type="gramEnd"/>
            <w:r>
              <w:rPr>
                <w:lang w:val="en-AU"/>
              </w:rPr>
              <w:t xml:space="preserve">. </w:t>
            </w:r>
          </w:p>
        </w:tc>
      </w:tr>
      <w:tr w:rsidR="006E1682" w:rsidRPr="00C506B5" w:rsidTr="00AE73F5">
        <w:trPr>
          <w:cantSplit/>
          <w:jc w:val="center"/>
        </w:trPr>
        <w:tc>
          <w:tcPr>
            <w:tcW w:w="3355" w:type="dxa"/>
            <w:tcBorders>
              <w:bottom w:val="single" w:sz="4" w:space="0" w:color="auto"/>
            </w:tcBorders>
            <w:shd w:val="clear" w:color="auto" w:fill="auto"/>
          </w:tcPr>
          <w:p w:rsidR="006E1682" w:rsidRPr="00754B37" w:rsidRDefault="006E1682" w:rsidP="00AE73F5">
            <w:pPr>
              <w:pStyle w:val="TableCellBody"/>
            </w:pPr>
            <w:r w:rsidRPr="00754B37">
              <w:rPr>
                <w:rStyle w:val="Technical2"/>
                <w:rFonts w:ascii="Times New Roman" w:hAnsi="Times New Roman"/>
                <w:lang w:val="en-US"/>
              </w:rPr>
              <w:t>ITERATION_SUMMARY</w:t>
            </w:r>
          </w:p>
        </w:tc>
        <w:tc>
          <w:tcPr>
            <w:tcW w:w="1350"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Boolean</w:t>
            </w:r>
          </w:p>
        </w:tc>
        <w:tc>
          <w:tcPr>
            <w:tcW w:w="1957"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“TRUE” or “FALSE”; default is “TRUE”</w:t>
            </w:r>
          </w:p>
        </w:tc>
        <w:tc>
          <w:tcPr>
            <w:tcW w:w="3619"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comma-separated files for easy plotting.</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DER_FORGIVE</w:t>
            </w:r>
          </w:p>
        </w:tc>
        <w:tc>
          <w:tcPr>
            <w:tcW w:w="1350" w:type="dxa"/>
            <w:shd w:val="clear" w:color="auto" w:fill="auto"/>
          </w:tcPr>
          <w:p w:rsidR="006E1682" w:rsidRPr="003B1E34" w:rsidRDefault="006E1682" w:rsidP="00AE73F5">
            <w:pPr>
              <w:pStyle w:val="TableCellBody"/>
            </w:pPr>
            <w: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 xml:space="preserve">UNCERTAINTY </w:t>
            </w:r>
          </w:p>
        </w:tc>
        <w:tc>
          <w:tcPr>
            <w:tcW w:w="1350" w:type="dxa"/>
            <w:shd w:val="clear" w:color="auto" w:fill="auto"/>
          </w:tcPr>
          <w:p w:rsidR="006E1682" w:rsidRPr="00C506B5" w:rsidRDefault="006E1682" w:rsidP="00AE73F5">
            <w:pPr>
              <w:pStyle w:val="TableCellBody"/>
              <w:rPr>
                <w:lang w:val="en-AU"/>
              </w:rPr>
            </w:pPr>
            <w:r>
              <w:rPr>
                <w:lang w:val="en-AU"/>
              </w:rP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A flag to disable uncertainty analyses.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lastRenderedPageBreak/>
              <w:t>FORECASTS</w:t>
            </w:r>
          </w:p>
        </w:tc>
        <w:tc>
          <w:tcPr>
            <w:tcW w:w="1350" w:type="dxa"/>
            <w:shd w:val="clear" w:color="auto" w:fill="auto"/>
          </w:tcPr>
          <w:p w:rsidR="006E1682" w:rsidRDefault="006E1682" w:rsidP="00AE73F5">
            <w:pPr>
              <w:pStyle w:val="TableCellBody"/>
              <w:rPr>
                <w:lang w:val="en-AU"/>
              </w:rPr>
            </w:pPr>
            <w:r>
              <w:rPr>
                <w:lang w:val="en-AU"/>
              </w:rPr>
              <w:t>Comma separated list of text</w:t>
            </w:r>
          </w:p>
        </w:tc>
        <w:tc>
          <w:tcPr>
            <w:tcW w:w="1957" w:type="dxa"/>
            <w:shd w:val="clear" w:color="auto" w:fill="auto"/>
          </w:tcPr>
          <w:p w:rsidR="006E1682" w:rsidRDefault="006E1682" w:rsidP="00AE73F5">
            <w:pPr>
              <w:pStyle w:val="TableCellBody"/>
              <w:rPr>
                <w:lang w:val="en-AU"/>
              </w:rPr>
            </w:pPr>
            <w:r>
              <w:rPr>
                <w:lang w:val="en-AU"/>
              </w:rPr>
              <w:t>Observation names in the control file; default is none</w:t>
            </w:r>
          </w:p>
        </w:tc>
        <w:tc>
          <w:tcPr>
            <w:tcW w:w="3619" w:type="dxa"/>
            <w:shd w:val="clear" w:color="auto" w:fill="auto"/>
          </w:tcPr>
          <w:p w:rsidR="006E1682" w:rsidRDefault="006E1682" w:rsidP="00AE73F5">
            <w:pPr>
              <w:pStyle w:val="TableCellBody"/>
              <w:rPr>
                <w:lang w:val="en-AU"/>
              </w:rPr>
            </w:pPr>
            <w:r>
              <w:rPr>
                <w:lang w:val="en-AU"/>
              </w:rPr>
              <w:t xml:space="preserve">The names of observations to treat as forecasts in the uncertainty analyses.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PARAMETER_COVARIANCE</w:t>
            </w:r>
          </w:p>
        </w:tc>
        <w:tc>
          <w:tcPr>
            <w:tcW w:w="1350" w:type="dxa"/>
            <w:shd w:val="clear" w:color="auto" w:fill="auto"/>
          </w:tcPr>
          <w:p w:rsidR="006E1682" w:rsidRDefault="006E1682" w:rsidP="00AE73F5">
            <w:pPr>
              <w:pStyle w:val="TableCellBody"/>
              <w:rPr>
                <w:lang w:val="en-AU"/>
              </w:rPr>
            </w:pPr>
            <w:r>
              <w:rPr>
                <w:lang w:val="en-AU"/>
              </w:rPr>
              <w:t>Text</w:t>
            </w:r>
          </w:p>
        </w:tc>
        <w:tc>
          <w:tcPr>
            <w:tcW w:w="1957" w:type="dxa"/>
            <w:shd w:val="clear" w:color="auto" w:fill="auto"/>
          </w:tcPr>
          <w:p w:rsidR="006E1682" w:rsidRDefault="006E1682" w:rsidP="00AE73F5">
            <w:pPr>
              <w:pStyle w:val="TableCellBody"/>
              <w:rPr>
                <w:lang w:val="en-AU"/>
              </w:rPr>
            </w:pPr>
            <w:r>
              <w:rPr>
                <w:lang w:val="en-AU"/>
              </w:rPr>
              <w:t>Filename; default is none</w:t>
            </w:r>
          </w:p>
        </w:tc>
        <w:tc>
          <w:tcPr>
            <w:tcW w:w="3619" w:type="dxa"/>
            <w:shd w:val="clear" w:color="auto" w:fill="auto"/>
          </w:tcPr>
          <w:p w:rsidR="006E1682" w:rsidRDefault="006E1682" w:rsidP="00AE73F5">
            <w:pPr>
              <w:pStyle w:val="TableCellBody"/>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OVERDUE_RESCHED_FAC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1.15</w:t>
            </w:r>
          </w:p>
        </w:tc>
        <w:tc>
          <w:tcPr>
            <w:tcW w:w="3619" w:type="dxa"/>
            <w:shd w:val="clear" w:color="auto" w:fill="auto"/>
          </w:tcPr>
          <w:p w:rsidR="006E1682" w:rsidRDefault="006E1682" w:rsidP="00AE73F5">
            <w:pPr>
              <w:pStyle w:val="TableCellBody"/>
              <w:rPr>
                <w:lang w:val="en-AU"/>
              </w:rPr>
            </w:pPr>
            <w:r>
              <w:rPr>
                <w:lang w:val="en-AU"/>
              </w:rPr>
              <w:t>YAMR specific command.  If a model run  takes longer than (</w:t>
            </w:r>
            <w:r>
              <w:rPr>
                <w:rStyle w:val="Technical2"/>
                <w:rFonts w:ascii="Times New Roman" w:hAnsi="Times New Roman"/>
                <w:lang w:val="en-US"/>
              </w:rPr>
              <w:t>OVERDUE_RESCHED_FAC * the average runtime) it will rescheduled on another node if one is available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OVERDUE_GIVEUP_FAC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100.0</w:t>
            </w:r>
          </w:p>
        </w:tc>
        <w:tc>
          <w:tcPr>
            <w:tcW w:w="3619" w:type="dxa"/>
            <w:shd w:val="clear" w:color="auto" w:fill="auto"/>
          </w:tcPr>
          <w:p w:rsidR="006E1682" w:rsidRDefault="006E1682" w:rsidP="00AE73F5">
            <w:pPr>
              <w:pStyle w:val="TableCellBody"/>
              <w:rPr>
                <w:lang w:val="en-AU"/>
              </w:rPr>
            </w:pPr>
            <w:r>
              <w:rPr>
                <w:lang w:val="en-AU"/>
              </w:rPr>
              <w:t>YAMR specific command.  If a model run has been running longer than (</w:t>
            </w:r>
            <w:r>
              <w:rPr>
                <w:rStyle w:val="Technical2"/>
                <w:rFonts w:ascii="Times New Roman" w:hAnsi="Times New Roman"/>
                <w:lang w:val="en-US"/>
              </w:rPr>
              <w:t>OVERDUE_GIVEUP_FAC * the average runtime)</w:t>
            </w:r>
            <w:bookmarkStart w:id="9" w:name="_GoBack"/>
            <w:bookmarkEnd w:id="9"/>
            <w:r>
              <w:rPr>
                <w:rStyle w:val="Technical2"/>
                <w:rFonts w:ascii="Times New Roman" w:hAnsi="Times New Roman"/>
                <w:lang w:val="en-US"/>
              </w:rPr>
              <w:t xml:space="preserve"> it will canceled</w:t>
            </w:r>
          </w:p>
        </w:tc>
      </w:tr>
    </w:tbl>
    <w:p w:rsidR="006E1682" w:rsidRDefault="006E1682" w:rsidP="006E1682">
      <w:pPr>
        <w:rPr>
          <w:lang w:val="en-AU" w:eastAsia="en-AU"/>
        </w:rPr>
      </w:pPr>
    </w:p>
    <w:p w:rsidR="008C0AB5" w:rsidRDefault="008C0AB5" w:rsidP="006E1682">
      <w:pPr>
        <w:rPr>
          <w:lang w:val="en-AU" w:eastAsia="en-AU"/>
        </w:rPr>
      </w:pPr>
    </w:p>
    <w:p w:rsidR="008C0AB5" w:rsidRDefault="008C0AB5">
      <w:pPr>
        <w:spacing w:after="0" w:afterAutospacing="0" w:line="240" w:lineRule="auto"/>
        <w:rPr>
          <w:rStyle w:val="Technical2"/>
          <w:rFonts w:ascii="Arial Narrow" w:hAnsi="Arial Narrow"/>
          <w:b/>
          <w:bCs/>
          <w:iCs/>
          <w:sz w:val="24"/>
          <w:lang w:val="en-US"/>
        </w:rPr>
      </w:pPr>
      <w:r>
        <w:rPr>
          <w:rStyle w:val="Technical2"/>
          <w:rFonts w:ascii="Arial Narrow" w:hAnsi="Arial Narrow"/>
          <w:sz w:val="24"/>
          <w:lang w:val="en-US"/>
        </w:rPr>
        <w:br w:type="page"/>
      </w:r>
    </w:p>
    <w:p w:rsidR="008C0AB5" w:rsidRPr="009E1FE7" w:rsidRDefault="008C0AB5" w:rsidP="008C0AB5">
      <w:pPr>
        <w:pStyle w:val="Heading2"/>
        <w:rPr>
          <w:rStyle w:val="Technical2"/>
          <w:rFonts w:ascii="Arial Narrow" w:hAnsi="Arial Narrow"/>
          <w:sz w:val="24"/>
          <w:lang w:val="en-US"/>
        </w:rPr>
      </w:pPr>
      <w:r w:rsidRPr="009E1FE7">
        <w:rPr>
          <w:rStyle w:val="Technical2"/>
          <w:rFonts w:ascii="Arial Narrow" w:hAnsi="Arial Narrow"/>
          <w:sz w:val="24"/>
          <w:lang w:val="en-US"/>
        </w:rPr>
        <w:lastRenderedPageBreak/>
        <w:t xml:space="preserve">The </w:t>
      </w:r>
      <w:r>
        <w:rPr>
          <w:rStyle w:val="Technical2"/>
          <w:rFonts w:ascii="Arial Narrow" w:hAnsi="Arial Narrow"/>
          <w:sz w:val="24"/>
          <w:lang w:val="en-US"/>
        </w:rPr>
        <w:t xml:space="preserve">YAMR Worker </w:t>
      </w:r>
      <w:r w:rsidRPr="009E1FE7">
        <w:rPr>
          <w:rStyle w:val="Technical2"/>
          <w:rFonts w:ascii="Arial Narrow" w:hAnsi="Arial Narrow"/>
          <w:sz w:val="24"/>
          <w:lang w:val="en-US"/>
        </w:rPr>
        <w:t>Control File</w:t>
      </w:r>
      <w:r>
        <w:rPr>
          <w:rStyle w:val="Technical2"/>
          <w:rFonts w:ascii="Arial Narrow" w:hAnsi="Arial Narrow"/>
          <w:sz w:val="24"/>
          <w:lang w:val="en-US"/>
        </w:rPr>
        <w:t xml:space="preserve"> (.</w:t>
      </w:r>
      <w:proofErr w:type="spellStart"/>
      <w:r>
        <w:rPr>
          <w:rStyle w:val="Technical2"/>
          <w:rFonts w:ascii="Arial Narrow" w:hAnsi="Arial Narrow"/>
          <w:sz w:val="24"/>
          <w:lang w:val="en-US"/>
        </w:rPr>
        <w:t>ymr</w:t>
      </w:r>
      <w:proofErr w:type="spellEnd"/>
      <w:r>
        <w:rPr>
          <w:rStyle w:val="Technical2"/>
          <w:rFonts w:ascii="Arial Narrow" w:hAnsi="Arial Narrow"/>
          <w:sz w:val="24"/>
          <w:lang w:val="en-US"/>
        </w:rPr>
        <w:t>)</w:t>
      </w:r>
    </w:p>
    <w:p w:rsidR="008C0AB5" w:rsidRPr="008C0AB5" w:rsidRDefault="008C0AB5" w:rsidP="008C0AB5">
      <w:pPr>
        <w:pStyle w:val="BodyText"/>
      </w:pPr>
      <w:r>
        <w:t xml:space="preserve">The variable </w:t>
      </w:r>
      <w:r w:rsidRPr="00FA4330">
        <w:t xml:space="preserve">within the </w:t>
      </w:r>
      <w:r>
        <w:t xml:space="preserve">optional YAMR worker </w:t>
      </w:r>
      <w:r w:rsidRPr="00FA4330">
        <w:t xml:space="preserve">control file are listed </w:t>
      </w:r>
      <w:r>
        <w:t>below.  This list is followed by short explanation of each variable used by PEST++.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input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w:t>
      </w:r>
      <w:r w:rsidRPr="0005031C">
        <w:rPr>
          <w:rStyle w:val="Technical2"/>
          <w:rFonts w:ascii="Courier New" w:hAnsi="Courier New" w:cs="Courier New"/>
          <w:szCs w:val="20"/>
          <w:lang w:val="en-AU"/>
        </w:rPr>
        <w:t>output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8C0AB5" w:rsidRDefault="008C0AB5" w:rsidP="006E1682">
      <w:pPr>
        <w:rPr>
          <w:lang w:val="en-AU" w:eastAsia="en-AU"/>
        </w:rPr>
      </w:pPr>
    </w:p>
    <w:p w:rsidR="008C0AB5" w:rsidRDefault="008C0AB5" w:rsidP="008C0AB5">
      <w:pPr>
        <w:pStyle w:val="Caption1"/>
      </w:pPr>
      <w:r>
        <w:t>Variables in “model command line”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COMLINE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system command</w:t>
            </w:r>
          </w:p>
        </w:tc>
        <w:tc>
          <w:tcPr>
            <w:tcW w:w="4172" w:type="dxa"/>
          </w:tcPr>
          <w:p w:rsidR="008C0AB5" w:rsidRDefault="008C0AB5" w:rsidP="003409E9">
            <w:pPr>
              <w:pStyle w:val="TableCellBody"/>
              <w:rPr>
                <w:lang w:val="en-AU"/>
              </w:rPr>
            </w:pPr>
            <w:r w:rsidRPr="00C506B5">
              <w:rPr>
                <w:lang w:val="en-AU"/>
              </w:rPr>
              <w:t>Command to run model</w:t>
            </w:r>
            <w:r>
              <w:rPr>
                <w:lang w:val="en-AU"/>
              </w:rPr>
              <w:t>.</w:t>
            </w:r>
          </w:p>
        </w:tc>
      </w:tr>
    </w:tbl>
    <w:p w:rsidR="008C0AB5" w:rsidRDefault="008C0AB5" w:rsidP="008C0AB5">
      <w:pPr>
        <w:pStyle w:val="Caption1"/>
      </w:pPr>
    </w:p>
    <w:p w:rsidR="008C0AB5" w:rsidRDefault="008C0AB5" w:rsidP="008C0AB5">
      <w:pPr>
        <w:pStyle w:val="Caption1"/>
      </w:pPr>
      <w:r>
        <w:t>Variables in “model input”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Height w:val="557"/>
        </w:trPr>
        <w:tc>
          <w:tcPr>
            <w:tcW w:w="1923" w:type="dxa"/>
          </w:tcPr>
          <w:p w:rsidR="008C0AB5" w:rsidRPr="003B1E34" w:rsidRDefault="008C0AB5" w:rsidP="003409E9">
            <w:pPr>
              <w:pStyle w:val="TableCellBody"/>
              <w:rPr>
                <w:lang w:val="en-AU"/>
              </w:rPr>
            </w:pPr>
            <w:r w:rsidRPr="003B1E34">
              <w:rPr>
                <w:lang w:val="en-AU"/>
              </w:rPr>
              <w:t>TEMPFLE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Template file</w:t>
            </w:r>
            <w:r>
              <w:rPr>
                <w:lang w:val="en-AU"/>
              </w:rPr>
              <w:t>.</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INFLE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Model input file</w:t>
            </w:r>
            <w:r>
              <w:rPr>
                <w:lang w:val="en-AU"/>
              </w:rPr>
              <w:t>.</w:t>
            </w:r>
          </w:p>
        </w:tc>
      </w:tr>
    </w:tbl>
    <w:p w:rsidR="008C0AB5" w:rsidRDefault="008C0AB5" w:rsidP="008C0AB5">
      <w:pPr>
        <w:pStyle w:val="Caption1"/>
      </w:pPr>
      <w:r>
        <w:t>Variables in “model output”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INSFLE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Instruction file</w:t>
            </w:r>
            <w:r>
              <w:rPr>
                <w:lang w:val="en-AU"/>
              </w:rPr>
              <w:t>.</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OUTFLE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Model output file</w:t>
            </w:r>
            <w:r>
              <w:rPr>
                <w:lang w:val="en-AU"/>
              </w:rPr>
              <w:t>.</w:t>
            </w:r>
          </w:p>
        </w:tc>
      </w:tr>
    </w:tbl>
    <w:p w:rsidR="008C0AB5" w:rsidRPr="008C0AB5" w:rsidRDefault="008C0AB5" w:rsidP="008C0AB5">
      <w:pPr>
        <w:rPr>
          <w:lang w:val="en-AU" w:eastAsia="en-AU" w:bidi="en-US"/>
        </w:rPr>
      </w:pPr>
    </w:p>
    <w:p w:rsidR="008C0AB5" w:rsidRDefault="008C0AB5" w:rsidP="006E1682">
      <w:pPr>
        <w:rPr>
          <w:lang w:val="en-AU" w:eastAsia="en-AU"/>
        </w:rPr>
      </w:pPr>
    </w:p>
    <w:p w:rsidR="006E1682" w:rsidRDefault="006E1682" w:rsidP="006E1682">
      <w:pPr>
        <w:pStyle w:val="Heading2"/>
        <w:rPr>
          <w:lang w:val="en-AU" w:eastAsia="en-AU"/>
        </w:rPr>
      </w:pPr>
      <w:bookmarkStart w:id="10" w:name="_Toc296069515"/>
      <w:r>
        <w:rPr>
          <w:lang w:val="en-AU" w:eastAsia="en-AU"/>
        </w:rPr>
        <w:lastRenderedPageBreak/>
        <w:t>References</w:t>
      </w:r>
      <w:bookmarkEnd w:id="10"/>
    </w:p>
    <w:p w:rsidR="006E1682" w:rsidRPr="00C81953" w:rsidRDefault="006E1682" w:rsidP="006E1682">
      <w:pPr>
        <w:pStyle w:val="Reference"/>
      </w:pPr>
      <w:r>
        <w:t>Doherty, John, 2010, Addendum to the PEST manual: Brisbane, Australia, 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011a</w:t>
      </w:r>
      <w:r w:rsidRPr="00925195">
        <w:rPr>
          <w:lang w:val="en-AU" w:eastAsia="en-AU"/>
        </w:rPr>
        <w:t>, PEST surface water utilities: Brisbane, Australia,</w:t>
      </w:r>
      <w:r>
        <w:rPr>
          <w:lang w:val="en-AU" w:eastAsia="en-AU"/>
        </w:rPr>
        <w:t xml:space="preserve"> </w:t>
      </w:r>
      <w:r w:rsidRPr="00925195">
        <w:rPr>
          <w:lang w:val="en-AU" w:eastAsia="en-AU"/>
        </w:rPr>
        <w:t>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011b</w:t>
      </w:r>
      <w:r w:rsidRPr="00925195">
        <w:rPr>
          <w:lang w:val="en-AU" w:eastAsia="en-AU"/>
        </w:rPr>
        <w:t>, Groundwater data utilities: Brisbane, Australia, Watermark Numerical Computing.</w:t>
      </w:r>
    </w:p>
    <w:p w:rsidR="006E1682" w:rsidRDefault="006E1682" w:rsidP="006E1682">
      <w:pPr>
        <w:pStyle w:val="Reference"/>
      </w:pPr>
      <w:proofErr w:type="spellStart"/>
      <w:r w:rsidRPr="00BA2467">
        <w:t>Muffels</w:t>
      </w:r>
      <w:proofErr w:type="spellEnd"/>
      <w:r w:rsidRPr="00BA2467">
        <w:t xml:space="preserve">, C.T., </w:t>
      </w:r>
      <w:proofErr w:type="spellStart"/>
      <w:r w:rsidRPr="00BA2467">
        <w:t>Schreüder</w:t>
      </w:r>
      <w:proofErr w:type="spellEnd"/>
      <w:r w:rsidRPr="00BA2467">
        <w:t xml:space="preserve">, W.A., Doherty, J.E., </w:t>
      </w:r>
      <w:proofErr w:type="spellStart"/>
      <w:r w:rsidRPr="00BA2467">
        <w:t>Karanovic</w:t>
      </w:r>
      <w:proofErr w:type="spellEnd"/>
      <w:r w:rsidRPr="00BA2467">
        <w:t>, M., Tonkin, M.J., Hunt, R.J., and Welter, D.E., 2012, Approaches in highly parameterized inversion</w:t>
      </w:r>
      <w:r>
        <w:t>––</w:t>
      </w:r>
      <w:r w:rsidRPr="00BA2467">
        <w:t>GENIE, A general model-independent TCP/IP run manager</w:t>
      </w:r>
      <w:r>
        <w:t>:</w:t>
      </w:r>
      <w:r w:rsidRPr="00BA2467">
        <w:t xml:space="preserve"> U.S. Geological Survey Techniques and Methods, </w:t>
      </w:r>
      <w:r>
        <w:t>b</w:t>
      </w:r>
      <w:r w:rsidRPr="00BA2467">
        <w:t xml:space="preserve">ook 7, </w:t>
      </w:r>
      <w:r>
        <w:t>chap. C</w:t>
      </w:r>
      <w:r w:rsidRPr="00BA2467">
        <w:t>6, 26 p.</w:t>
      </w:r>
      <w:r>
        <w:t xml:space="preserve">, </w:t>
      </w:r>
      <w:hyperlink r:id="rId9" w:history="1">
        <w:r w:rsidRPr="00A344D4">
          <w:rPr>
            <w:rStyle w:val="Hyperlink"/>
          </w:rPr>
          <w:t>http://pubs.usgs.gov/tm/tm7c6/</w:t>
        </w:r>
      </w:hyperlink>
      <w:r>
        <w:rPr>
          <w:rStyle w:val="Hyperlink"/>
        </w:rPr>
        <w:t>.</w:t>
      </w:r>
    </w:p>
    <w:p w:rsidR="006E1682" w:rsidRDefault="006E1682" w:rsidP="006E1682">
      <w:pPr>
        <w:pStyle w:val="Reference"/>
      </w:pPr>
      <w:proofErr w:type="spellStart"/>
      <w:r w:rsidRPr="00E3512B">
        <w:t>Schreüder</w:t>
      </w:r>
      <w:proofErr w:type="spellEnd"/>
      <w:r w:rsidRPr="00E3512B">
        <w:t xml:space="preserve">, W.A., 2009, Running </w:t>
      </w:r>
      <w:proofErr w:type="spellStart"/>
      <w:r w:rsidRPr="00E3512B">
        <w:t>BeoPEST</w:t>
      </w:r>
      <w:proofErr w:type="spellEnd"/>
      <w:r w:rsidRPr="00E3512B">
        <w:t xml:space="preserve">, </w:t>
      </w:r>
      <w:r w:rsidRPr="00E3512B">
        <w:rPr>
          <w:i/>
          <w:iCs/>
        </w:rPr>
        <w:t>in</w:t>
      </w:r>
      <w:r w:rsidRPr="00E3512B">
        <w:t xml:space="preserve"> Tonkin, M.J., ed. Proceedings, PEST Conference 2009, Potomac, Md., November 1–3, 2009: Bethesda, Md., S.S. </w:t>
      </w:r>
      <w:proofErr w:type="spellStart"/>
      <w:r w:rsidRPr="00E3512B">
        <w:t>Papadopulos</w:t>
      </w:r>
      <w:proofErr w:type="spellEnd"/>
      <w:r w:rsidRPr="00E3512B">
        <w:t xml:space="preserve"> and Associates, p. 228</w:t>
      </w:r>
      <w:r>
        <w:t>–</w:t>
      </w:r>
      <w:r w:rsidRPr="00E3512B">
        <w:t>240.</w:t>
      </w:r>
    </w:p>
    <w:p w:rsidR="006E1682" w:rsidRPr="00AC1EC5" w:rsidRDefault="006E1682" w:rsidP="006E1682">
      <w:pPr>
        <w:pStyle w:val="BodyText"/>
        <w:ind w:left="720" w:hanging="720"/>
        <w:rPr>
          <w:b/>
        </w:rPr>
      </w:pPr>
    </w:p>
    <w:p w:rsidR="006E1682" w:rsidRDefault="006E1682" w:rsidP="006E1682">
      <w:pPr>
        <w:rPr>
          <w:lang w:val="en-AU" w:eastAsia="en-AU"/>
        </w:rPr>
      </w:pPr>
      <w:r>
        <w:rPr>
          <w:lang w:val="en-AU" w:eastAsia="en-AU"/>
        </w:rPr>
        <w:br w:type="page"/>
      </w:r>
    </w:p>
    <w:p w:rsidR="006E1682" w:rsidRDefault="006E1682" w:rsidP="006E1682">
      <w:pPr>
        <w:pStyle w:val="Heading1"/>
        <w:rPr>
          <w:noProof/>
        </w:rPr>
      </w:pPr>
      <w:bookmarkStart w:id="11" w:name="_Toc296069516"/>
      <w:r>
        <w:rPr>
          <w:noProof/>
        </w:rPr>
        <w:lastRenderedPageBreak/>
        <w:t>GSA++ Implementation and Use</w:t>
      </w:r>
      <w:bookmarkEnd w:id="11"/>
    </w:p>
    <w:p w:rsidR="006E1682" w:rsidRPr="007E54BB" w:rsidRDefault="006E1682" w:rsidP="006E1682">
      <w:pPr>
        <w:pStyle w:val="BodyText"/>
      </w:pPr>
      <w:r w:rsidRPr="007E54BB">
        <w:t>GSA++ shares a common command line with PEST++ as well as the input control, template files, and instruction file. Algorithmic variables that control the behavior of GSA++ are stored in a text file with a .</w:t>
      </w:r>
      <w:proofErr w:type="spellStart"/>
      <w:r w:rsidRPr="007E54BB">
        <w:rPr>
          <w:rStyle w:val="Emphasis"/>
        </w:rPr>
        <w:t>gsa</w:t>
      </w:r>
      <w:proofErr w:type="spellEnd"/>
      <w:r w:rsidRPr="007E54BB">
        <w:t xml:space="preserve"> suffix. For example, control variables specific to the Method of Morris must be specified in a file that has the same base name the PEST control file, but with a .</w:t>
      </w:r>
      <w:proofErr w:type="spellStart"/>
      <w:r w:rsidRPr="007E54BB">
        <w:rPr>
          <w:rStyle w:val="Emphasis"/>
        </w:rPr>
        <w:t>gsa</w:t>
      </w:r>
      <w:proofErr w:type="spellEnd"/>
      <w:r w:rsidRPr="007E54BB">
        <w:t xml:space="preserve"> extension. The variables in this file are shown in figure </w:t>
      </w:r>
      <w:r>
        <w:t>6</w:t>
      </w:r>
      <w:r w:rsidRPr="007E54BB">
        <w:t>–1.</w:t>
      </w:r>
    </w:p>
    <w:p w:rsidR="006E1682" w:rsidRDefault="006E1682" w:rsidP="006E1682">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30" type="#_x0000_t202" style="width:186.1pt;height:167.7pt;visibility:visible;mso-position-horizontal-relative:char;mso-position-vertical-relative:line">
            <v:textbox>
              <w:txbxContent>
                <w:p w:rsidR="00AE73F5" w:rsidRPr="00E97820" w:rsidRDefault="00AE73F5" w:rsidP="006E1682">
                  <w:pPr>
                    <w:pStyle w:val="Caption"/>
                    <w:rPr>
                      <w:rFonts w:ascii="Courier New" w:hAnsi="Courier New" w:cs="Courier New"/>
                      <w:b w:val="0"/>
                      <w:sz w:val="20"/>
                      <w:szCs w:val="20"/>
                    </w:rPr>
                  </w:pPr>
                  <w:proofErr w:type="gramStart"/>
                  <w:r w:rsidRPr="00E97820">
                    <w:rPr>
                      <w:rFonts w:ascii="Courier New" w:hAnsi="Courier New" w:cs="Courier New"/>
                      <w:b w:val="0"/>
                      <w:sz w:val="20"/>
                      <w:szCs w:val="20"/>
                    </w:rPr>
                    <w:t>METHOD(</w:t>
                  </w:r>
                  <w:proofErr w:type="gramEnd"/>
                  <w:r w:rsidRPr="00E97820">
                    <w:rPr>
                      <w:rFonts w:ascii="Courier New" w:hAnsi="Courier New" w:cs="Courier New"/>
                      <w:b w:val="0"/>
                      <w:sz w:val="20"/>
                      <w:szCs w:val="20"/>
                    </w:rPr>
                    <w:t>MORRIS)</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R(</w:t>
                  </w:r>
                  <w:proofErr w:type="gramEnd"/>
                  <w:r w:rsidRPr="00E97820">
                    <w:rPr>
                      <w:rFonts w:ascii="Courier New" w:hAnsi="Courier New" w:cs="Courier New"/>
                      <w:b w:val="0"/>
                      <w:sz w:val="20"/>
                      <w:szCs w:val="20"/>
                    </w:rPr>
                    <w:t>4)</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P(</w:t>
                  </w:r>
                  <w:proofErr w:type="gramEnd"/>
                  <w:r w:rsidRPr="00E97820">
                    <w:rPr>
                      <w:rFonts w:ascii="Courier New" w:hAnsi="Courier New" w:cs="Courier New"/>
                      <w:b w:val="0"/>
                      <w:sz w:val="20"/>
                      <w:szCs w:val="20"/>
                    </w:rPr>
                    <w:t>4)</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DELTA(</w:t>
                  </w:r>
                  <w:proofErr w:type="gramEnd"/>
                  <w:r w:rsidRPr="00E97820">
                    <w:rPr>
                      <w:rFonts w:ascii="Courier New" w:hAnsi="Courier New" w:cs="Courier New"/>
                      <w:b w:val="0"/>
                      <w:sz w:val="20"/>
                      <w:szCs w:val="20"/>
                    </w:rPr>
                    <w:t>.666)</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MORRIS_POOLED_</w:t>
                  </w:r>
                  <w:proofErr w:type="gramStart"/>
                  <w:r w:rsidRPr="00E97820">
                    <w:rPr>
                      <w:rFonts w:ascii="Courier New" w:hAnsi="Courier New" w:cs="Courier New"/>
                      <w:b w:val="0"/>
                      <w:sz w:val="20"/>
                      <w:szCs w:val="20"/>
                    </w:rPr>
                    <w:t>OBS(</w:t>
                  </w:r>
                  <w:proofErr w:type="gramEnd"/>
                  <w:r w:rsidRPr="00E97820">
                    <w:rPr>
                      <w:rFonts w:ascii="Courier New" w:hAnsi="Courier New" w:cs="Courier New"/>
                      <w:b w:val="0"/>
                      <w:sz w:val="20"/>
                      <w:szCs w:val="20"/>
                    </w:rPr>
                    <w:t>FALSE)</w:t>
                  </w:r>
                </w:p>
                <w:p w:rsidR="00AE73F5" w:rsidRPr="00E97820" w:rsidRDefault="00AE73F5" w:rsidP="006E1682">
                  <w:pPr>
                    <w:spacing w:line="240" w:lineRule="auto"/>
                  </w:pPr>
                  <w:r w:rsidRPr="00E97820">
                    <w:br w:type="page"/>
                  </w:r>
                </w:p>
                <w:p w:rsidR="00AE73F5" w:rsidRPr="00E97820" w:rsidRDefault="00AE73F5" w:rsidP="006E1682"/>
              </w:txbxContent>
            </v:textbox>
            <w10:wrap type="none"/>
            <w10:anchorlock/>
          </v:shape>
        </w:pict>
      </w:r>
    </w:p>
    <w:p w:rsidR="006E1682" w:rsidRDefault="006E1682" w:rsidP="006E1682">
      <w:pPr>
        <w:spacing w:line="240" w:lineRule="auto"/>
        <w:rPr>
          <w:b/>
        </w:rPr>
      </w:pPr>
    </w:p>
    <w:p w:rsidR="006E1682" w:rsidRDefault="006E1682" w:rsidP="006E1682">
      <w:pPr>
        <w:pStyle w:val="FigureCaption"/>
      </w:pPr>
      <w:bookmarkStart w:id="12" w:name="_Toc296069727"/>
      <w:proofErr w:type="gramStart"/>
      <w:r w:rsidRPr="00CF4DAA">
        <w:rPr>
          <w:b/>
        </w:rPr>
        <w:t xml:space="preserve">Figure </w:t>
      </w:r>
      <w:r>
        <w:rPr>
          <w:b/>
        </w:rPr>
        <w:t>6</w:t>
      </w:r>
      <w:r w:rsidRPr="00CF4DAA">
        <w:rPr>
          <w:b/>
        </w:rPr>
        <w:t>–1.</w:t>
      </w:r>
      <w:proofErr w:type="gramEnd"/>
      <w:r w:rsidRPr="00AC6499">
        <w:rPr>
          <w:lang w:eastAsia="en-AU"/>
        </w:rPr>
        <w:t xml:space="preserve"> </w:t>
      </w:r>
      <w:r>
        <w:rPr>
          <w:lang w:eastAsia="en-AU"/>
        </w:rPr>
        <w:t> </w:t>
      </w:r>
      <w:r w:rsidRPr="00EF4CC3">
        <w:t>Example GSA++ input file for Method of Morris analysis</w:t>
      </w:r>
      <w:r>
        <w:t>.</w:t>
      </w:r>
      <w:bookmarkEnd w:id="12"/>
    </w:p>
    <w:p w:rsidR="006E1682" w:rsidRDefault="006E1682" w:rsidP="006E1682">
      <w:pPr>
        <w:spacing w:line="240" w:lineRule="auto"/>
      </w:pPr>
      <w:r>
        <w:br w:type="page"/>
      </w:r>
    </w:p>
    <w:p w:rsidR="006E1682" w:rsidRDefault="006E1682" w:rsidP="006E1682">
      <w:pPr>
        <w:spacing w:line="240" w:lineRule="auto"/>
      </w:pPr>
    </w:p>
    <w:p w:rsidR="006E1682" w:rsidRPr="00D76596" w:rsidRDefault="006E1682" w:rsidP="006E1682">
      <w:pPr>
        <w:spacing w:line="240" w:lineRule="auto"/>
      </w:pPr>
    </w:p>
    <w:p w:rsidR="006E1682" w:rsidRDefault="006E1682" w:rsidP="006E1682">
      <w:pPr>
        <w:spacing w:line="360" w:lineRule="auto"/>
      </w:pPr>
    </w:p>
    <w:p w:rsidR="006E1682" w:rsidRPr="00EF4CC3" w:rsidRDefault="006E1682" w:rsidP="006E1682">
      <w:pPr>
        <w:spacing w:line="360" w:lineRule="auto"/>
        <w:rPr>
          <w:b/>
        </w:rPr>
      </w:pPr>
      <w:r w:rsidRPr="00EF4CC3">
        <w:rPr>
          <w:b/>
        </w:rPr>
        <w:t>General GSA++ Options</w:t>
      </w:r>
    </w:p>
    <w:tbl>
      <w:tblPr>
        <w:tblStyle w:val="Signature"/>
        <w:tblW w:w="0" w:type="auto"/>
        <w:tblLook w:val="04A0"/>
      </w:tblPr>
      <w:tblGrid>
        <w:gridCol w:w="2644"/>
        <w:gridCol w:w="2468"/>
        <w:gridCol w:w="2547"/>
        <w:gridCol w:w="260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134" w:type="dxa"/>
          </w:tcPr>
          <w:p w:rsidR="006E1682" w:rsidRDefault="006E1682" w:rsidP="00AE73F5">
            <w:pPr>
              <w:pStyle w:val="TableCellHeading"/>
              <w:rPr>
                <w:rFonts w:eastAsiaTheme="minorEastAsia"/>
              </w:rPr>
            </w:pPr>
            <w:r>
              <w:rPr>
                <w:rFonts w:eastAsiaTheme="minorEastAsia"/>
              </w:rPr>
              <w:t>Type</w:t>
            </w:r>
          </w:p>
        </w:tc>
        <w:tc>
          <w:tcPr>
            <w:tcW w:w="1584"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METHOD</w:t>
            </w:r>
          </w:p>
        </w:tc>
        <w:tc>
          <w:tcPr>
            <w:tcW w:w="1134" w:type="dxa"/>
          </w:tcPr>
          <w:p w:rsidR="006E1682" w:rsidRDefault="006E1682" w:rsidP="00AE73F5">
            <w:pPr>
              <w:pStyle w:val="TableCellBody"/>
              <w:rPr>
                <w:rFonts w:eastAsiaTheme="minorEastAsia"/>
              </w:rPr>
            </w:pPr>
            <w:r>
              <w:rPr>
                <w:rFonts w:eastAsiaTheme="minorEastAsia"/>
              </w:rPr>
              <w:t>Text</w:t>
            </w:r>
          </w:p>
        </w:tc>
        <w:tc>
          <w:tcPr>
            <w:tcW w:w="1584" w:type="dxa"/>
          </w:tcPr>
          <w:p w:rsidR="006E1682" w:rsidRDefault="006E1682" w:rsidP="00AE73F5">
            <w:pPr>
              <w:pStyle w:val="TableCellBody"/>
              <w:rPr>
                <w:rFonts w:eastAsiaTheme="minorEastAsia"/>
              </w:rPr>
            </w:pPr>
            <w:r>
              <w:rPr>
                <w:rFonts w:eastAsiaTheme="minorEastAsia"/>
              </w:rPr>
              <w:t>“MORRIS” or “SOBOL”</w:t>
            </w:r>
          </w:p>
        </w:tc>
        <w:tc>
          <w:tcPr>
            <w:tcW w:w="4068" w:type="dxa"/>
          </w:tcPr>
          <w:p w:rsidR="006E1682" w:rsidRDefault="006E1682" w:rsidP="00AE73F5">
            <w:pPr>
              <w:pStyle w:val="TableCellBody"/>
              <w:rPr>
                <w:rFonts w:eastAsiaTheme="minorEastAsia"/>
              </w:rPr>
            </w:pPr>
            <w:r>
              <w:rPr>
                <w:rFonts w:eastAsiaTheme="minorEastAsia"/>
              </w:rPr>
              <w:t>Specifies type of analysis to</w:t>
            </w:r>
            <w:r>
              <w:rPr>
                <w:rFonts w:eastAsiaTheme="minorEastAsia"/>
              </w:rPr>
              <w:lastRenderedPageBreak/>
              <w:t xml:space="preserve"> be performed.</w:t>
            </w:r>
          </w:p>
        </w:tc>
      </w:tr>
      <w:tr w:rsidR="006E1682" w:rsidTr="00AE73F5">
        <w:tc>
          <w:tcPr>
            <w:tcW w:w="2790" w:type="dxa"/>
          </w:tcPr>
          <w:p w:rsidR="006E1682" w:rsidRPr="003B1E34" w:rsidRDefault="006E1682" w:rsidP="00AE73F5">
            <w:pPr>
              <w:pStyle w:val="TableCellBody"/>
            </w:pPr>
            <w:r w:rsidRPr="003B1E34">
              <w:lastRenderedPageBreak/>
              <w:t>RAND_SEED</w:t>
            </w:r>
          </w:p>
        </w:tc>
        <w:tc>
          <w:tcPr>
            <w:tcW w:w="1134" w:type="dxa"/>
          </w:tcPr>
          <w:p w:rsidR="006E1682" w:rsidRDefault="006E1682" w:rsidP="00AE73F5">
            <w:pPr>
              <w:pStyle w:val="TableCellBody"/>
              <w:rPr>
                <w:rFonts w:eastAsiaTheme="minorEastAsia"/>
              </w:rPr>
            </w:pPr>
            <w:r>
              <w:rPr>
                <w:rFonts w:eastAsiaTheme="minorEastAsia"/>
              </w:rPr>
              <w:t>Unsigned integer</w:t>
            </w:r>
          </w:p>
        </w:tc>
        <w:tc>
          <w:tcPr>
            <w:tcW w:w="1584" w:type="dxa"/>
          </w:tcPr>
          <w:p w:rsidR="006E1682" w:rsidRDefault="006E1682" w:rsidP="00AE73F5">
            <w:pPr>
              <w:pStyle w:val="TableCellBody"/>
              <w:rPr>
                <w:rFonts w:eastAsiaTheme="minorEastAsia"/>
              </w:rPr>
            </w:pPr>
          </w:p>
        </w:tc>
        <w:tc>
          <w:tcPr>
            <w:tcW w:w="4068" w:type="dxa"/>
          </w:tcPr>
          <w:p w:rsidR="006E1682" w:rsidRDefault="006E1682" w:rsidP="00AE73F5">
            <w:pPr>
              <w:pStyle w:val="TableCellBody"/>
              <w:rPr>
                <w:rFonts w:eastAsiaTheme="minorEastAsia"/>
              </w:rPr>
            </w:pPr>
            <w:r>
              <w:rPr>
                <w:rFonts w:eastAsiaTheme="minorEastAsia"/>
              </w:rPr>
              <w:t>Seed for the random number generator.</w:t>
            </w:r>
          </w:p>
        </w:tc>
      </w:tr>
    </w:tbl>
    <w:p w:rsidR="006E1682" w:rsidRDefault="006E1682" w:rsidP="006E1682">
      <w:pPr>
        <w:rPr>
          <w:b/>
        </w:rPr>
      </w:pPr>
    </w:p>
    <w:p w:rsidR="006E1682" w:rsidRPr="00EF4CC3" w:rsidRDefault="006E1682" w:rsidP="006E1682">
      <w:pPr>
        <w:rPr>
          <w:b/>
        </w:rPr>
      </w:pPr>
      <w:r w:rsidRPr="00EF4CC3">
        <w:rPr>
          <w:b/>
        </w:rPr>
        <w:t>GSA++ Options Specific to Method of Morris</w:t>
      </w:r>
    </w:p>
    <w:tbl>
      <w:tblPr>
        <w:tblStyle w:val="Signature"/>
        <w:tblW w:w="0" w:type="auto"/>
        <w:tblLook w:val="04A0"/>
      </w:tblPr>
      <w:tblGrid>
        <w:gridCol w:w="2946"/>
        <w:gridCol w:w="2280"/>
        <w:gridCol w:w="2543"/>
        <w:gridCol w:w="249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098" w:type="dxa"/>
          </w:tcPr>
          <w:p w:rsidR="006E1682" w:rsidRDefault="006E1682" w:rsidP="00AE73F5">
            <w:pPr>
              <w:pStyle w:val="TableCellHeading"/>
              <w:rPr>
                <w:rFonts w:eastAsiaTheme="minorEastAsia"/>
              </w:rPr>
            </w:pPr>
            <w:r>
              <w:rPr>
                <w:rFonts w:eastAsiaTheme="minorEastAsia"/>
              </w:rPr>
              <w:t>Type</w:t>
            </w:r>
          </w:p>
        </w:tc>
        <w:tc>
          <w:tcPr>
            <w:tcW w:w="1646"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MORRIS_R</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Sample size. The number of times </w:t>
            </w:r>
            <w:r>
              <w:rPr>
                <w:rFonts w:eastAsiaTheme="minorEastAsia"/>
              </w:rPr>
              <w:lastRenderedPageBreak/>
              <w:t>the sensitivity will be computed for each parameter</w:t>
            </w:r>
            <w:r>
              <w:rPr>
                <w:rFonts w:eastAsiaTheme="minorEastAsia"/>
              </w:rPr>
              <w:lastRenderedPageBreak/>
              <w:t>.</w:t>
            </w:r>
          </w:p>
        </w:tc>
      </w:tr>
      <w:tr w:rsidR="006E1682" w:rsidTr="00AE73F5">
        <w:tc>
          <w:tcPr>
            <w:tcW w:w="2790" w:type="dxa"/>
          </w:tcPr>
          <w:p w:rsidR="006E1682" w:rsidRPr="003B1E34" w:rsidRDefault="006E1682" w:rsidP="00AE73F5">
            <w:pPr>
              <w:pStyle w:val="TableCellBody"/>
              <w:rPr>
                <w:rFonts w:eastAsiaTheme="minorEastAsia"/>
              </w:rPr>
            </w:pPr>
            <w:r w:rsidRPr="003B1E34">
              <w:lastRenderedPageBreak/>
              <w:t>MORRIS_P</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Number of levels or the number of points at which </w:t>
            </w:r>
            <w:r>
              <w:rPr>
                <w:rFonts w:eastAsiaTheme="minorEastAsia"/>
              </w:rPr>
              <w:lastRenderedPageBreak/>
              <w:t>each parameter is sampled.</w:t>
            </w:r>
          </w:p>
        </w:tc>
      </w:tr>
      <w:tr w:rsidR="006E1682" w:rsidTr="00AE73F5">
        <w:tc>
          <w:tcPr>
            <w:tcW w:w="2790" w:type="dxa"/>
          </w:tcPr>
          <w:p w:rsidR="006E1682" w:rsidRPr="003B1E34" w:rsidRDefault="006E1682" w:rsidP="00AE73F5">
            <w:pPr>
              <w:pStyle w:val="TableCellBody"/>
              <w:rPr>
                <w:rFonts w:eastAsiaTheme="minorEastAsia"/>
              </w:rPr>
            </w:pPr>
            <w:r w:rsidRPr="003B1E34">
              <w:lastRenderedPageBreak/>
              <w:t>MORRIS_DELTA</w:t>
            </w:r>
          </w:p>
        </w:tc>
        <w:tc>
          <w:tcPr>
            <w:tcW w:w="1098" w:type="dxa"/>
          </w:tcPr>
          <w:p w:rsidR="006E1682" w:rsidRDefault="006E1682" w:rsidP="00AE73F5">
            <w:pPr>
              <w:pStyle w:val="TableCellBody"/>
              <w:rPr>
                <w:rFonts w:eastAsiaTheme="minorEastAsia"/>
              </w:rPr>
            </w:pPr>
            <w:r>
              <w:rPr>
                <w:rFonts w:eastAsiaTheme="minorEastAsia"/>
              </w:rPr>
              <w:t xml:space="preserve">Real </w:t>
            </w:r>
          </w:p>
        </w:tc>
        <w:tc>
          <w:tcPr>
            <w:tcW w:w="1646" w:type="dxa"/>
          </w:tcPr>
          <w:p w:rsidR="006E1682" w:rsidRPr="00F07193" w:rsidRDefault="006E1682" w:rsidP="00AE73F5">
            <w:pPr>
              <w:pStyle w:val="TableCellBody"/>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6E1682" w:rsidRPr="00F07193" w:rsidRDefault="006E1682" w:rsidP="00AE73F5">
            <w:pPr>
              <w:pStyle w:val="TableCellBody"/>
              <w:rPr>
                <w:rFonts w:eastAsiaTheme="minorEastAsia"/>
              </w:rPr>
            </w:pPr>
            <w:r>
              <w:rPr>
                <w:rFonts w:eastAsiaTheme="minorEastAsia"/>
              </w:rPr>
              <w:t>where p=MO</w:t>
            </w:r>
            <w:r>
              <w:rPr>
                <w:rFonts w:eastAsiaTheme="minorEastAsia"/>
              </w:rPr>
              <w:lastRenderedPageBreak/>
              <w:t>RRIS_P</w:t>
            </w:r>
          </w:p>
        </w:tc>
        <w:tc>
          <w:tcPr>
            <w:tcW w:w="4068" w:type="dxa"/>
          </w:tcPr>
          <w:p w:rsidR="006E1682" w:rsidRDefault="006E1682" w:rsidP="00AE73F5">
            <w:pPr>
              <w:pStyle w:val="TableCellBody"/>
              <w:rPr>
                <w:rFonts w:eastAsiaTheme="minorEastAsia"/>
              </w:rPr>
            </w:pPr>
            <w:r>
              <w:rPr>
                <w:rFonts w:eastAsiaTheme="minorEastAsia"/>
              </w:rPr>
              <w:lastRenderedPageBreak/>
              <w:t>Size of the sampling step</w:t>
            </w:r>
            <w:r>
              <w:rPr>
                <w:rFonts w:eastAsiaTheme="minorEastAsia"/>
              </w:rPr>
              <w:lastRenderedPageBreak/>
              <w:t>.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w:t>
            </w:r>
            <w:r>
              <w:rPr>
                <w:rFonts w:eastAsiaTheme="minorEastAsia"/>
              </w:rPr>
              <w:lastRenderedPageBreak/>
              <w:t>ze of the interval that will be used to calculate t</w:t>
            </w:r>
            <w:r>
              <w:rPr>
                <w:rFonts w:eastAsiaTheme="minorEastAsia"/>
              </w:rPr>
              <w:lastRenderedPageBreak/>
              <w:t>he sensitivities.</w:t>
            </w:r>
          </w:p>
        </w:tc>
      </w:tr>
      <w:tr w:rsidR="006E1682" w:rsidTr="00AE73F5">
        <w:tc>
          <w:tcPr>
            <w:tcW w:w="2790" w:type="dxa"/>
          </w:tcPr>
          <w:p w:rsidR="006E1682" w:rsidRPr="003B1E34" w:rsidRDefault="006E1682" w:rsidP="00AE73F5">
            <w:pPr>
              <w:pStyle w:val="TableCellBody"/>
              <w:rPr>
                <w:rFonts w:eastAsiaTheme="minorEastAsia"/>
              </w:rPr>
            </w:pPr>
            <w:r w:rsidRPr="003B1E34">
              <w:lastRenderedPageBreak/>
              <w:t>MORRIS_POOLED_OBS</w:t>
            </w:r>
          </w:p>
        </w:tc>
        <w:tc>
          <w:tcPr>
            <w:tcW w:w="1098" w:type="dxa"/>
          </w:tcPr>
          <w:p w:rsidR="006E1682" w:rsidRDefault="006E1682" w:rsidP="00AE73F5">
            <w:pPr>
              <w:pStyle w:val="TableCellBody"/>
              <w:rPr>
                <w:rFonts w:eastAsiaTheme="minorEastAsia"/>
              </w:rPr>
            </w:pPr>
            <w:r>
              <w:rPr>
                <w:rFonts w:eastAsiaTheme="minorEastAsia"/>
              </w:rPr>
              <w:t>Text</w:t>
            </w:r>
          </w:p>
        </w:tc>
        <w:tc>
          <w:tcPr>
            <w:tcW w:w="1646" w:type="dxa"/>
          </w:tcPr>
          <w:p w:rsidR="006E1682" w:rsidRDefault="006E1682" w:rsidP="00AE73F5">
            <w:pPr>
              <w:pStyle w:val="TableCellBody"/>
              <w:rPr>
                <w:rFonts w:eastAsiaTheme="minorEastAsia"/>
              </w:rPr>
            </w:pPr>
            <w:r>
              <w:rPr>
                <w:rFonts w:eastAsiaTheme="minorEastAsia"/>
              </w:rPr>
              <w:t>“TRUE” or “FALSE”; default is “FAL</w:t>
            </w:r>
            <w:r>
              <w:rPr>
                <w:rFonts w:eastAsiaTheme="minorEastAsia"/>
              </w:rPr>
              <w:lastRenderedPageBreak/>
              <w:t>SE”</w:t>
            </w:r>
          </w:p>
        </w:tc>
        <w:tc>
          <w:tcPr>
            <w:tcW w:w="4068" w:type="dxa"/>
          </w:tcPr>
          <w:p w:rsidR="006E1682" w:rsidRDefault="006E1682" w:rsidP="00AE73F5">
            <w:pPr>
              <w:pStyle w:val="TableCellBody"/>
              <w:rPr>
                <w:rFonts w:eastAsiaTheme="minorEastAsia"/>
              </w:rPr>
            </w:pPr>
          </w:p>
        </w:tc>
      </w:tr>
      <w:tr w:rsidR="006E1682" w:rsidDel="005F5349" w:rsidTr="00AE73F5">
        <w:tc>
          <w:tcPr>
            <w:tcW w:w="2790" w:type="dxa"/>
          </w:tcPr>
          <w:p w:rsidR="006E1682" w:rsidRDefault="006E1682" w:rsidP="00AE73F5">
            <w:pPr>
              <w:pStyle w:val="TableCellBody"/>
            </w:pPr>
            <w:r>
              <w:lastRenderedPageBreak/>
              <w:t>MORRIS_OBS_SEN</w:t>
            </w:r>
          </w:p>
        </w:tc>
        <w:tc>
          <w:tcPr>
            <w:tcW w:w="1098" w:type="dxa"/>
          </w:tcPr>
          <w:p w:rsidR="006E1682" w:rsidDel="005F5349" w:rsidRDefault="006E1682" w:rsidP="00AE73F5">
            <w:pPr>
              <w:pStyle w:val="TableCellBody"/>
              <w:rPr>
                <w:rFonts w:eastAsiaTheme="minorEastAsia"/>
              </w:rPr>
            </w:pPr>
            <w:r>
              <w:rPr>
                <w:rFonts w:eastAsiaTheme="minorEastAsia"/>
              </w:rPr>
              <w:t>Text</w:t>
            </w:r>
          </w:p>
        </w:tc>
        <w:tc>
          <w:tcPr>
            <w:tcW w:w="1646" w:type="dxa"/>
          </w:tcPr>
          <w:p w:rsidR="006E1682" w:rsidDel="005F5349" w:rsidRDefault="006E1682" w:rsidP="00AE73F5">
            <w:pPr>
              <w:pStyle w:val="TableCellBody"/>
              <w:rPr>
                <w:rFonts w:eastAsiaTheme="minorEastAsia"/>
              </w:rPr>
            </w:pPr>
            <w:r>
              <w:rPr>
                <w:rFonts w:eastAsiaTheme="minorEastAsia"/>
              </w:rPr>
              <w:t>TRUE” or “FALSE”; default is “TRUE”</w:t>
            </w:r>
          </w:p>
        </w:tc>
        <w:tc>
          <w:tcPr>
            <w:tcW w:w="4068" w:type="dxa"/>
          </w:tcPr>
          <w:p w:rsidR="006E1682" w:rsidDel="005F5349" w:rsidRDefault="006E1682" w:rsidP="00AE73F5">
            <w:pPr>
              <w:pStyle w:val="TableCellBody"/>
              <w:rPr>
                <w:rFonts w:eastAsiaTheme="minorEastAsia"/>
              </w:rPr>
            </w:pPr>
            <w:r>
              <w:rPr>
                <w:rFonts w:eastAsiaTheme="minorEastAsia"/>
              </w:rPr>
              <w:t>A value of “TRUE” instructs GSA++ to perform the</w:t>
            </w:r>
            <w:r>
              <w:rPr>
                <w:rFonts w:eastAsiaTheme="minorEastAsia"/>
              </w:rPr>
              <w:lastRenderedPageBreak/>
              <w:t xml:space="preserve"> Method of Method sensitivity for each observation.</w:t>
            </w:r>
            <w:r>
              <w:rPr>
                <w:rFonts w:eastAsiaTheme="minorEastAsia"/>
              </w:rPr>
              <w:lastRenderedPageBreak/>
              <w:t xml:space="preserve"> </w:t>
            </w:r>
          </w:p>
        </w:tc>
      </w:tr>
    </w:tbl>
    <w:p w:rsidR="006E1682" w:rsidRDefault="006E1682" w:rsidP="006E1682">
      <w:pPr>
        <w:spacing w:line="240" w:lineRule="auto"/>
      </w:pPr>
      <w:r>
        <w:lastRenderedPageBreak/>
        <w:br w:type="page"/>
      </w:r>
    </w:p>
    <w:p w:rsidR="006E1682" w:rsidRDefault="006E1682" w:rsidP="006E1682">
      <w:pPr>
        <w:spacing w:line="360" w:lineRule="auto"/>
      </w:pPr>
    </w:p>
    <w:p w:rsidR="006E1682" w:rsidRPr="00EF4CC3" w:rsidRDefault="006E1682" w:rsidP="006E1682">
      <w:pPr>
        <w:spacing w:line="360" w:lineRule="auto"/>
        <w:rPr>
          <w:b/>
        </w:rPr>
      </w:pPr>
      <w:r w:rsidRPr="00EF4CC3">
        <w:rPr>
          <w:b/>
        </w:rPr>
        <w:t xml:space="preserve">GSA++ Options Specific to the Method of </w:t>
      </w:r>
      <w:proofErr w:type="spellStart"/>
      <w:r w:rsidRPr="00EF4CC3">
        <w:rPr>
          <w:b/>
        </w:rPr>
        <w:t>Sobol</w:t>
      </w:r>
      <w:proofErr w:type="spellEnd"/>
    </w:p>
    <w:tbl>
      <w:tblPr>
        <w:tblStyle w:val="Signature"/>
        <w:tblW w:w="0" w:type="auto"/>
        <w:tblLook w:val="04A0"/>
      </w:tblPr>
      <w:tblGrid>
        <w:gridCol w:w="2853"/>
        <w:gridCol w:w="2356"/>
        <w:gridCol w:w="2454"/>
        <w:gridCol w:w="2604"/>
      </w:tblGrid>
      <w:tr w:rsidR="006E1682" w:rsidTr="00AE73F5">
        <w:tc>
          <w:tcPr>
            <w:tcW w:w="2790" w:type="dxa"/>
          </w:tcPr>
          <w:p w:rsidR="006E1682" w:rsidRDefault="006E1682" w:rsidP="00AE73F5">
            <w:pPr>
              <w:spacing w:line="360" w:lineRule="auto"/>
              <w:rPr>
                <w:rFonts w:eastAsiaTheme="minorEastAsia"/>
              </w:rPr>
            </w:pPr>
            <w:r>
              <w:rPr>
                <w:rFonts w:eastAsiaTheme="minorEastAsia"/>
              </w:rPr>
              <w:t>Variable</w:t>
            </w:r>
          </w:p>
        </w:tc>
        <w:tc>
          <w:tcPr>
            <w:tcW w:w="1134" w:type="dxa"/>
          </w:tcPr>
          <w:p w:rsidR="006E1682" w:rsidRDefault="006E1682" w:rsidP="00AE73F5">
            <w:pPr>
              <w:spacing w:line="360" w:lineRule="auto"/>
              <w:rPr>
                <w:rFonts w:eastAsiaTheme="minorEastAsia"/>
              </w:rPr>
            </w:pPr>
            <w:r>
              <w:rPr>
                <w:rFonts w:eastAsiaTheme="minorEastAsia"/>
              </w:rPr>
              <w:t>Type</w:t>
            </w:r>
          </w:p>
        </w:tc>
        <w:tc>
          <w:tcPr>
            <w:tcW w:w="1584" w:type="dxa"/>
          </w:tcPr>
          <w:p w:rsidR="006E1682" w:rsidRDefault="006E1682" w:rsidP="00AE73F5">
            <w:pPr>
              <w:spacing w:line="360" w:lineRule="auto"/>
              <w:rPr>
                <w:rFonts w:eastAsiaTheme="minorEastAsia"/>
              </w:rPr>
            </w:pPr>
            <w:r>
              <w:rPr>
                <w:rFonts w:eastAsiaTheme="minorEastAsia"/>
              </w:rPr>
              <w:t>Values</w:t>
            </w:r>
          </w:p>
        </w:tc>
        <w:tc>
          <w:tcPr>
            <w:tcW w:w="4068" w:type="dxa"/>
          </w:tcPr>
          <w:p w:rsidR="006E1682" w:rsidRDefault="006E1682" w:rsidP="00AE73F5">
            <w:pPr>
              <w:spacing w:line="360" w:lineRule="auto"/>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SOBOL_SAMPLES</w:t>
            </w:r>
          </w:p>
        </w:tc>
        <w:tc>
          <w:tcPr>
            <w:tcW w:w="1134" w:type="dxa"/>
          </w:tcPr>
          <w:p w:rsidR="006E1682" w:rsidRDefault="006E1682" w:rsidP="00AE73F5">
            <w:pPr>
              <w:pStyle w:val="TableCellBody"/>
              <w:rPr>
                <w:rFonts w:eastAsiaTheme="minorEastAsia"/>
              </w:rPr>
            </w:pPr>
            <w:r>
              <w:rPr>
                <w:rFonts w:eastAsiaTheme="minorEastAsia"/>
              </w:rPr>
              <w:t>Long integer</w:t>
            </w:r>
          </w:p>
        </w:tc>
        <w:tc>
          <w:tcPr>
            <w:tcW w:w="1584"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Size of the samples to be</w:t>
            </w:r>
            <w:r>
              <w:rPr>
                <w:rFonts w:eastAsiaTheme="minorEastAsia"/>
              </w:rPr>
              <w:lastRenderedPageBreak/>
              <w:t xml:space="preserve"> used in </w:t>
            </w:r>
            <w:proofErr w:type="spellStart"/>
            <w:r>
              <w:rPr>
                <w:rFonts w:eastAsiaTheme="minorEastAsia"/>
              </w:rPr>
              <w:t>Sobol’s</w:t>
            </w:r>
            <w:proofErr w:type="spellEnd"/>
            <w:r>
              <w:rPr>
                <w:rFonts w:eastAsiaTheme="minorEastAsia"/>
              </w:rPr>
              <w:t xml:space="preserve"> method when computing sample varia</w:t>
            </w:r>
            <w:r>
              <w:rPr>
                <w:rFonts w:eastAsiaTheme="minorEastAsia"/>
              </w:rPr>
              <w:lastRenderedPageBreak/>
              <w:t xml:space="preserve">nces. This is “n” in the equation </w:t>
            </w:r>
            <w:r>
              <w:rPr>
                <w:i/>
                <w:iCs/>
              </w:rPr>
              <w:t>s</w:t>
            </w:r>
            <w:r>
              <w:rPr>
                <w:vertAlign w:val="superscript"/>
              </w:rPr>
              <w:t>2</w:t>
            </w:r>
            <w:r>
              <w:t xml:space="preserve"> = Σ </w:t>
            </w:r>
            <w:proofErr w:type="gramStart"/>
            <w:r>
              <w:t>( x</w:t>
            </w:r>
            <w:r>
              <w:rPr>
                <w:vertAlign w:val="subscript"/>
              </w:rPr>
              <w:t>i</w:t>
            </w:r>
            <w:proofErr w:type="gramEnd"/>
            <w:r>
              <w:t xml:space="preserve"> − x )</w:t>
            </w:r>
            <w:r>
              <w:rPr>
                <w:vertAlign w:val="superscript"/>
              </w:rPr>
              <w:lastRenderedPageBreak/>
              <w:t>2</w:t>
            </w:r>
            <w:r>
              <w:t xml:space="preserve"> / </w:t>
            </w:r>
            <w:r>
              <w:br/>
              <w:t>( n − 1 )</w:t>
            </w:r>
            <w:r>
              <w:rPr>
                <w:rFonts w:eastAsiaTheme="minorEastAsia"/>
              </w:rPr>
              <w:t>.</w:t>
            </w:r>
          </w:p>
        </w:tc>
      </w:tr>
      <w:tr w:rsidR="006E1682" w:rsidTr="00AE73F5">
        <w:tc>
          <w:tcPr>
            <w:tcW w:w="2790" w:type="dxa"/>
          </w:tcPr>
          <w:p w:rsidR="006E1682" w:rsidRPr="003B1E34" w:rsidRDefault="006E1682" w:rsidP="00AE73F5">
            <w:pPr>
              <w:pStyle w:val="TableCellBody"/>
            </w:pPr>
            <w:r w:rsidRPr="003B1E34">
              <w:lastRenderedPageBreak/>
              <w:t>SOBOL_PAR_DIST</w:t>
            </w:r>
          </w:p>
        </w:tc>
        <w:tc>
          <w:tcPr>
            <w:tcW w:w="1134" w:type="dxa"/>
          </w:tcPr>
          <w:p w:rsidR="006E1682" w:rsidRDefault="006E1682" w:rsidP="00AE73F5">
            <w:pPr>
              <w:pStyle w:val="TableCellBody"/>
              <w:rPr>
                <w:rFonts w:eastAsiaTheme="minorEastAsia"/>
              </w:rPr>
            </w:pPr>
            <w:r>
              <w:rPr>
                <w:rFonts w:eastAsiaTheme="minorEastAsia"/>
              </w:rPr>
              <w:t>String</w:t>
            </w:r>
          </w:p>
        </w:tc>
        <w:tc>
          <w:tcPr>
            <w:tcW w:w="1584" w:type="dxa"/>
          </w:tcPr>
          <w:p w:rsidR="006E1682" w:rsidRDefault="006E1682" w:rsidP="00AE73F5">
            <w:pPr>
              <w:pStyle w:val="TableCellBody"/>
              <w:rPr>
                <w:rFonts w:eastAsiaTheme="minorEastAsia"/>
              </w:rPr>
            </w:pPr>
            <w:r>
              <w:rPr>
                <w:rFonts w:eastAsiaTheme="minorEastAsia"/>
              </w:rPr>
              <w:t>“NORM”</w:t>
            </w:r>
          </w:p>
          <w:p w:rsidR="006E1682" w:rsidRDefault="006E1682" w:rsidP="00AE73F5">
            <w:pPr>
              <w:pStyle w:val="TableCellBody"/>
              <w:rPr>
                <w:rFonts w:eastAsiaTheme="minorEastAsia"/>
              </w:rPr>
            </w:pPr>
            <w:r>
              <w:rPr>
                <w:rFonts w:eastAsiaTheme="minorEastAsia"/>
              </w:rPr>
              <w:t>“UNIF”</w:t>
            </w:r>
          </w:p>
        </w:tc>
        <w:tc>
          <w:tcPr>
            <w:tcW w:w="4068" w:type="dxa"/>
          </w:tcPr>
          <w:p w:rsidR="006E1682" w:rsidRDefault="006E1682" w:rsidP="00AE73F5">
            <w:pPr>
              <w:pStyle w:val="TableCellBody"/>
              <w:rPr>
                <w:rFonts w:eastAsiaTheme="minorEastAsia"/>
              </w:rPr>
            </w:pPr>
            <w:r>
              <w:rPr>
                <w:rFonts w:eastAsiaTheme="minorEastAsia"/>
              </w:rPr>
              <w:t>Specifies whether the parameter sampl</w:t>
            </w:r>
            <w:r>
              <w:rPr>
                <w:rFonts w:eastAsiaTheme="minorEastAsia"/>
              </w:rPr>
              <w:lastRenderedPageBreak/>
              <w:t>es should be drawn from a uniform or normal distrib</w:t>
            </w:r>
            <w:r>
              <w:rPr>
                <w:rFonts w:eastAsiaTheme="minorEastAsia"/>
              </w:rPr>
              <w:lastRenderedPageBreak/>
              <w:t>ution. If the parameters are assumed to be uniforml</w:t>
            </w:r>
            <w:r>
              <w:rPr>
                <w:rFonts w:eastAsiaTheme="minorEastAsia"/>
              </w:rPr>
              <w:lastRenderedPageBreak/>
              <w:t>y distributed use “UNIF”; otherwise, if the paramet</w:t>
            </w:r>
            <w:r>
              <w:rPr>
                <w:rFonts w:eastAsiaTheme="minorEastAsia"/>
              </w:rPr>
              <w:lastRenderedPageBreak/>
              <w:t xml:space="preserve">ers are normally distributed, use “NORM”. </w:t>
            </w:r>
          </w:p>
        </w:tc>
      </w:tr>
    </w:tbl>
    <w:p w:rsidR="006E1682" w:rsidRDefault="006E1682" w:rsidP="006E1682">
      <w:pPr>
        <w:spacing w:line="240" w:lineRule="auto"/>
      </w:pPr>
    </w:p>
    <w:p w:rsidR="006E1682" w:rsidRDefault="006E1682" w:rsidP="006E1682">
      <w:pPr>
        <w:spacing w:line="240" w:lineRule="auto"/>
      </w:pPr>
    </w:p>
    <w:p w:rsidR="006E1682" w:rsidRDefault="006E1682" w:rsidP="006E1682">
      <w:pPr>
        <w:pStyle w:val="Heading2"/>
      </w:pPr>
      <w:bookmarkStart w:id="13" w:name="_Toc296069517"/>
      <w:r>
        <w:lastRenderedPageBreak/>
        <w:t>GSA++ Output Files</w:t>
      </w:r>
      <w:bookmarkEnd w:id="13"/>
    </w:p>
    <w:p w:rsidR="006E1682" w:rsidRPr="007E54BB" w:rsidRDefault="006E1682" w:rsidP="006E1682">
      <w:pPr>
        <w:pStyle w:val="BodyText"/>
      </w:pPr>
      <w:r w:rsidRPr="007E54BB">
        <w:t>The GSA++ implementation produces two output files summarizing the global sensitivity analysis. The Morris sensitivity file (.</w:t>
      </w:r>
      <w:r w:rsidRPr="007E54BB">
        <w:rPr>
          <w:rStyle w:val="Emphasis"/>
        </w:rPr>
        <w:t>msn</w:t>
      </w:r>
      <w:r w:rsidRPr="007E54BB">
        <w:t xml:space="preserve">) is the primary output file which contains the metric associated with the Method of Morris analysis. The file contains a header line describing the information stored in the file, which consists of </w:t>
      </w:r>
      <w:proofErr w:type="spellStart"/>
      <w:r w:rsidRPr="007E54BB">
        <w:t>parameter_name</w:t>
      </w:r>
      <w:proofErr w:type="spellEnd"/>
      <w:r w:rsidRPr="007E54BB">
        <w:t xml:space="preserve">, </w:t>
      </w:r>
      <w:proofErr w:type="spellStart"/>
      <w:r w:rsidRPr="007E54BB">
        <w:t>sen_</w:t>
      </w:r>
      <w:proofErr w:type="gramStart"/>
      <w:r w:rsidRPr="007E54BB">
        <w:t>mean</w:t>
      </w:r>
      <w:proofErr w:type="spellEnd"/>
      <w:r w:rsidRPr="007E54BB">
        <w:t>(</w:t>
      </w:r>
      <w:proofErr w:type="gramEnd"/>
      <w:r w:rsidRPr="007E54BB">
        <w:t xml:space="preserve">μ), </w:t>
      </w:r>
      <w:proofErr w:type="spellStart"/>
      <w:r w:rsidRPr="007E54BB">
        <w:t>sen_mean_abs</w:t>
      </w:r>
      <w:proofErr w:type="spellEnd"/>
      <w:r w:rsidRPr="007E54BB">
        <w:t xml:space="preserve">(μ*), and </w:t>
      </w:r>
      <w:proofErr w:type="spellStart"/>
      <w:r w:rsidRPr="007E54BB">
        <w:t>sen_std_dev</w:t>
      </w:r>
      <w:proofErr w:type="spellEnd"/>
      <w:r w:rsidRPr="007E54BB">
        <w:t>(σ). Each subsequent line contains the metrics for one of the adjustable parameters. In addition to the .msn file, a raw sensitivity file (.</w:t>
      </w:r>
      <w:r w:rsidRPr="007E54BB">
        <w:rPr>
          <w:rStyle w:val="Emphasis"/>
        </w:rPr>
        <w:t>raw</w:t>
      </w:r>
      <w:r w:rsidRPr="007E54BB">
        <w:t>) is also written which summarizes the raw model output that was used to compute the information stored in the .</w:t>
      </w:r>
      <w:r w:rsidRPr="00990D5D">
        <w:rPr>
          <w:rStyle w:val="Emphasis"/>
        </w:rPr>
        <w:t>msn</w:t>
      </w:r>
      <w:r w:rsidRPr="007E54BB">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w:t>
      </w:r>
      <w:proofErr w:type="spellStart"/>
      <w:r w:rsidRPr="007E54BB">
        <w:t>sen</w:t>
      </w:r>
      <w:proofErr w:type="spellEnd"/>
      <w:r w:rsidRPr="007E54BB">
        <w:t xml:space="preserve"> is the sensitivity.</w:t>
      </w:r>
    </w:p>
    <w:p w:rsidR="006E1682" w:rsidRDefault="006E1682" w:rsidP="006E1682">
      <w:pPr>
        <w:pStyle w:val="BodyText"/>
      </w:pPr>
    </w:p>
    <w:p w:rsidR="006E1682" w:rsidRPr="00057E03" w:rsidRDefault="006E1682" w:rsidP="006E1682">
      <w:pPr>
        <w:spacing w:line="360" w:lineRule="auto"/>
      </w:pPr>
      <w:r>
        <w:rPr>
          <w:noProof/>
        </w:rPr>
      </w:r>
      <w:r>
        <w:rPr>
          <w:noProof/>
        </w:rPr>
        <w:pict>
          <v:shape id="Text Box 9" o:spid="_x0000_s1029" type="#_x0000_t202" style="width:329.05pt;height:58.5pt;visibility:visible;mso-position-horizontal-relative:char;mso-position-vertical-relative:line">
            <v:textbox>
              <w:txbxContent>
                <w:p w:rsidR="00AE73F5" w:rsidRPr="003B1E34" w:rsidRDefault="00AE73F5" w:rsidP="006E1682">
                  <w:pPr>
                    <w:spacing w:line="36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sen_mean_abs</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sen_std_dev</w:t>
                  </w:r>
                  <w:proofErr w:type="spellEnd"/>
                </w:p>
                <w:p w:rsidR="00AE73F5" w:rsidRPr="003B1E34" w:rsidRDefault="00AE73F5"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X1, -16.4665, 108.885, </w:t>
                  </w:r>
                  <w:proofErr w:type="gramStart"/>
                  <w:r w:rsidRPr="003B1E34">
                    <w:rPr>
                      <w:rFonts w:ascii="Courier New" w:hAnsi="Courier New" w:cs="Courier New"/>
                      <w:sz w:val="20"/>
                      <w:szCs w:val="20"/>
                    </w:rPr>
                    <w:t>138.542</w:t>
                  </w:r>
                  <w:proofErr w:type="gramEnd"/>
                </w:p>
                <w:p w:rsidR="00AE73F5" w:rsidRPr="003B1E34" w:rsidRDefault="00AE73F5"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X2, 53.5115, 72.4633, </w:t>
                  </w:r>
                  <w:proofErr w:type="gramStart"/>
                  <w:r w:rsidRPr="003B1E34">
                    <w:rPr>
                      <w:rFonts w:ascii="Courier New" w:hAnsi="Courier New" w:cs="Courier New"/>
                      <w:sz w:val="20"/>
                      <w:szCs w:val="20"/>
                    </w:rPr>
                    <w:t>98.2834</w:t>
                  </w:r>
                  <w:proofErr w:type="gramEnd"/>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 xml:space="preserve">X19, -2.32365, 5.56711, </w:t>
                  </w:r>
                  <w:proofErr w:type="gramStart"/>
                  <w:r w:rsidRPr="00933B92">
                    <w:rPr>
                      <w:i/>
                    </w:rPr>
                    <w:t>6.42093</w:t>
                  </w:r>
                  <w:proofErr w:type="gramEnd"/>
                </w:p>
                <w:p w:rsidR="00AE73F5" w:rsidRPr="00933B92" w:rsidRDefault="00AE73F5" w:rsidP="006E1682">
                  <w:pPr>
                    <w:spacing w:line="360" w:lineRule="auto"/>
                    <w:rPr>
                      <w:i/>
                    </w:rPr>
                  </w:pPr>
                  <w:r w:rsidRPr="00933B92">
                    <w:rPr>
                      <w:i/>
                    </w:rPr>
                    <w:t xml:space="preserve">X20, -0.0338625, 2.83062, </w:t>
                  </w:r>
                  <w:proofErr w:type="gramStart"/>
                  <w:r w:rsidRPr="00933B92">
                    <w:rPr>
                      <w:i/>
                    </w:rPr>
                    <w:t>3.88215</w:t>
                  </w:r>
                  <w:proofErr w:type="gramEnd"/>
                </w:p>
                <w:p w:rsidR="00AE73F5" w:rsidRDefault="00AE73F5" w:rsidP="006E1682"/>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4" w:name="_Toc296069728"/>
      <w:proofErr w:type="gramStart"/>
      <w:r w:rsidRPr="00D066BA">
        <w:rPr>
          <w:b/>
        </w:rPr>
        <w:t xml:space="preserve">Figure </w:t>
      </w:r>
      <w:r>
        <w:rPr>
          <w:b/>
        </w:rPr>
        <w:t>6</w:t>
      </w:r>
      <w:r w:rsidRPr="00D066BA">
        <w:rPr>
          <w:b/>
        </w:rPr>
        <w:t>–2.</w:t>
      </w:r>
      <w:proofErr w:type="gramEnd"/>
      <w:r w:rsidRPr="00AC6499">
        <w:rPr>
          <w:lang w:eastAsia="en-AU"/>
        </w:rPr>
        <w:t xml:space="preserve"> </w:t>
      </w:r>
      <w:r>
        <w:rPr>
          <w:lang w:eastAsia="en-AU"/>
        </w:rPr>
        <w:t> </w:t>
      </w:r>
      <w:r w:rsidRPr="000D3FF9">
        <w:rPr>
          <w:szCs w:val="24"/>
        </w:rPr>
        <w:t>Example Morris sensitivity (</w:t>
      </w:r>
      <w:r w:rsidRPr="000D3FF9">
        <w:rPr>
          <w:rFonts w:cs="Courier New"/>
          <w:szCs w:val="24"/>
        </w:rPr>
        <w:t>.</w:t>
      </w:r>
      <w:r w:rsidRPr="000D3FF9">
        <w:rPr>
          <w:rStyle w:val="Emphasis"/>
        </w:rPr>
        <w:t>msn</w:t>
      </w:r>
      <w:r w:rsidRPr="000D3FF9">
        <w:rPr>
          <w:szCs w:val="24"/>
        </w:rPr>
        <w:t>) file</w:t>
      </w:r>
      <w:r>
        <w:t>.</w:t>
      </w:r>
      <w:bookmarkEnd w:id="14"/>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6E1682" w:rsidP="006E1682">
      <w:pPr>
        <w:pStyle w:val="ListParagraph"/>
        <w:spacing w:line="360" w:lineRule="auto"/>
      </w:pPr>
      <w:r>
        <w:rPr>
          <w:noProof/>
        </w:rPr>
      </w:r>
      <w:r>
        <w:rPr>
          <w:noProof/>
        </w:rPr>
        <w:pict>
          <v:shape id="Text Box 10" o:spid="_x0000_s1028" type="#_x0000_t202" style="width:379.6pt;height:52.5pt;visibility:visible;mso-position-horizontal-relative:char;mso-position-vertical-relative:line">
            <v:textbox>
              <w:txbxContent>
                <w:p w:rsidR="00AE73F5" w:rsidRPr="003B1E34" w:rsidRDefault="00AE73F5" w:rsidP="006E1682">
                  <w:pPr>
                    <w:spacing w:line="24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phi_0, phi_1, par_0, par_1, </w:t>
                  </w:r>
                  <w:proofErr w:type="spellStart"/>
                  <w:r w:rsidRPr="003B1E34">
                    <w:rPr>
                      <w:rFonts w:ascii="Courier New" w:hAnsi="Courier New" w:cs="Courier New"/>
                      <w:sz w:val="20"/>
                      <w:szCs w:val="20"/>
                    </w:rPr>
                    <w:t>sen</w:t>
                  </w:r>
                  <w:proofErr w:type="spellEnd"/>
                </w:p>
                <w:p w:rsidR="00AE73F5" w:rsidRPr="003B1E34" w:rsidRDefault="00AE73F5" w:rsidP="006E1682">
                  <w:pPr>
                    <w:spacing w:line="240" w:lineRule="auto"/>
                    <w:rPr>
                      <w:rFonts w:ascii="Courier New" w:hAnsi="Courier New" w:cs="Courier New"/>
                      <w:sz w:val="20"/>
                      <w:szCs w:val="20"/>
                    </w:rPr>
                  </w:pPr>
                  <w:r w:rsidRPr="003B1E34">
                    <w:rPr>
                      <w:rFonts w:ascii="Courier New" w:hAnsi="Courier New" w:cs="Courier New"/>
                      <w:sz w:val="20"/>
                      <w:szCs w:val="20"/>
                    </w:rPr>
                    <w:t>X1</w:t>
                  </w:r>
                  <w:proofErr w:type="gramStart"/>
                  <w:r w:rsidRPr="003B1E34">
                    <w:rPr>
                      <w:rFonts w:ascii="Courier New" w:hAnsi="Courier New" w:cs="Courier New"/>
                      <w:sz w:val="20"/>
                      <w:szCs w:val="20"/>
                    </w:rPr>
                    <w:t>,  128.437</w:t>
                  </w:r>
                  <w:proofErr w:type="gramEnd"/>
                  <w:r w:rsidRPr="003B1E34">
                    <w:rPr>
                      <w:rFonts w:ascii="Courier New" w:hAnsi="Courier New" w:cs="Courier New"/>
                      <w:sz w:val="20"/>
                      <w:szCs w:val="20"/>
                    </w:rPr>
                    <w:t>,  84.7042,  0.999999,  0.333333, 65.5993</w:t>
                  </w:r>
                </w:p>
                <w:p w:rsidR="00AE73F5" w:rsidRPr="003B1E34" w:rsidRDefault="00AE73F5" w:rsidP="006E1682">
                  <w:pPr>
                    <w:spacing w:line="240" w:lineRule="auto"/>
                    <w:rPr>
                      <w:rFonts w:ascii="Courier New" w:hAnsi="Courier New" w:cs="Courier New"/>
                      <w:sz w:val="20"/>
                      <w:szCs w:val="20"/>
                    </w:rPr>
                  </w:pPr>
                  <w:r w:rsidRPr="003B1E34">
                    <w:rPr>
                      <w:rFonts w:ascii="Courier New" w:hAnsi="Courier New" w:cs="Courier New"/>
                      <w:sz w:val="20"/>
                      <w:szCs w:val="20"/>
                    </w:rPr>
                    <w:t>X2</w:t>
                  </w:r>
                  <w:proofErr w:type="gramStart"/>
                  <w:r w:rsidRPr="003B1E34">
                    <w:rPr>
                      <w:rFonts w:ascii="Courier New" w:hAnsi="Courier New" w:cs="Courier New"/>
                      <w:sz w:val="20"/>
                      <w:szCs w:val="20"/>
                    </w:rPr>
                    <w:t>,  114.144</w:t>
                  </w:r>
                  <w:proofErr w:type="gramEnd"/>
                  <w:r w:rsidRPr="003B1E34">
                    <w:rPr>
                      <w:rFonts w:ascii="Courier New" w:hAnsi="Courier New" w:cs="Courier New"/>
                      <w:sz w:val="20"/>
                      <w:szCs w:val="20"/>
                    </w:rPr>
                    <w:t>,  128.437,  0.666666,  0, -21.4395</w:t>
                  </w:r>
                </w:p>
                <w:p w:rsidR="00AE73F5" w:rsidRPr="00370C21" w:rsidRDefault="00AE73F5" w:rsidP="006E1682">
                  <w:pPr>
                    <w:spacing w:line="240" w:lineRule="auto"/>
                    <w:rPr>
                      <w:i/>
                    </w:rPr>
                  </w:pPr>
                </w:p>
                <w:p w:rsidR="00AE73F5" w:rsidRPr="00370C21" w:rsidRDefault="00AE73F5" w:rsidP="006E1682">
                  <w:pPr>
                    <w:rPr>
                      <w:i/>
                    </w:rPr>
                  </w:pPr>
                  <w:r w:rsidRPr="00370C21">
                    <w:rPr>
                      <w:i/>
                    </w:rPr>
                    <w:t>.</w:t>
                  </w:r>
                </w:p>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5" w:name="_Toc296069729"/>
      <w:proofErr w:type="gramStart"/>
      <w:r w:rsidRPr="00D066BA">
        <w:rPr>
          <w:b/>
        </w:rPr>
        <w:t xml:space="preserve">Figure </w:t>
      </w:r>
      <w:r>
        <w:rPr>
          <w:b/>
        </w:rPr>
        <w:t>6</w:t>
      </w:r>
      <w:r w:rsidRPr="00D066BA">
        <w:rPr>
          <w:b/>
        </w:rPr>
        <w:t>–3.</w:t>
      </w:r>
      <w:proofErr w:type="gramEnd"/>
      <w:r w:rsidRPr="00AC6499">
        <w:rPr>
          <w:lang w:eastAsia="en-AU"/>
        </w:rPr>
        <w:t xml:space="preserve"> </w:t>
      </w:r>
      <w:r>
        <w:rPr>
          <w:lang w:eastAsia="en-AU"/>
        </w:rPr>
        <w:t> </w:t>
      </w:r>
      <w:r w:rsidRPr="000D3FF9">
        <w:rPr>
          <w:szCs w:val="24"/>
        </w:rPr>
        <w:t>Example raw sensitivity (</w:t>
      </w:r>
      <w:r w:rsidRPr="000D3FF9">
        <w:rPr>
          <w:rFonts w:cs="Courier New"/>
          <w:szCs w:val="24"/>
        </w:rPr>
        <w:t>.</w:t>
      </w:r>
      <w:r w:rsidRPr="000D3FF9">
        <w:rPr>
          <w:rStyle w:val="Emphasis"/>
        </w:rPr>
        <w:t>raw</w:t>
      </w:r>
      <w:r w:rsidRPr="000D3FF9">
        <w:rPr>
          <w:szCs w:val="24"/>
        </w:rPr>
        <w:t>) file</w:t>
      </w:r>
      <w:r>
        <w:t>.</w:t>
      </w:r>
      <w:bookmarkEnd w:id="15"/>
    </w:p>
    <w:p w:rsidR="006E1682" w:rsidRDefault="006E1682" w:rsidP="006E1682">
      <w:pPr>
        <w:pStyle w:val="ListParagraph"/>
        <w:spacing w:line="360" w:lineRule="auto"/>
      </w:pPr>
    </w:p>
    <w:p w:rsidR="006E1682" w:rsidRDefault="006E1682" w:rsidP="006E1682">
      <w:pPr>
        <w:pStyle w:val="ListParagraph"/>
        <w:spacing w:line="360" w:lineRule="auto"/>
      </w:pPr>
    </w:p>
    <w:p w:rsidR="0025632F" w:rsidRPr="006E1682" w:rsidRDefault="0025632F" w:rsidP="006E1682">
      <w:pPr>
        <w:rPr>
          <w:rStyle w:val="Technical2"/>
          <w:rFonts w:ascii="Times New Roman" w:hAnsi="Times New Roman"/>
          <w:sz w:val="24"/>
          <w:lang w:val="en-US"/>
        </w:rPr>
      </w:pPr>
    </w:p>
    <w:sectPr w:rsidR="0025632F" w:rsidRPr="006E1682" w:rsidSect="005C2DC8">
      <w:headerReference w:type="even" r:id="rId10"/>
      <w:headerReference w:type="default" r:id="rId11"/>
      <w:footerReference w:type="default" r:id="rId12"/>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834" w:rsidRDefault="00E73834" w:rsidP="00351E3F">
      <w:r>
        <w:separator/>
      </w:r>
    </w:p>
  </w:endnote>
  <w:endnote w:type="continuationSeparator" w:id="0">
    <w:p w:rsidR="00E73834" w:rsidRDefault="00E73834"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Impact"/>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AE73F5" w:rsidRDefault="00AE73F5">
        <w:pPr>
          <w:pStyle w:val="Footer"/>
        </w:pPr>
        <w:r>
          <w:ptab w:relativeTo="margin" w:alignment="center" w:leader="none"/>
        </w:r>
        <w:fldSimple w:instr=" PAGE   \* MERGEFORMAT ">
          <w:r w:rsidR="008C0AB5">
            <w:rPr>
              <w:noProof/>
            </w:rPr>
            <w:t>20</w:t>
          </w:r>
        </w:fldSimple>
      </w:p>
    </w:sdtContent>
  </w:sdt>
  <w:p w:rsidR="00AE73F5" w:rsidRDefault="00AE73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834" w:rsidRDefault="00E73834" w:rsidP="00351E3F">
      <w:r>
        <w:separator/>
      </w:r>
    </w:p>
  </w:footnote>
  <w:footnote w:type="continuationSeparator" w:id="0">
    <w:p w:rsidR="00E73834" w:rsidRDefault="00E73834"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F5" w:rsidRDefault="00AE73F5">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F5" w:rsidRDefault="00AE73F5"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A21A46"/>
    <w:lvl w:ilvl="0">
      <w:start w:val="1"/>
      <w:numFmt w:val="decimal"/>
      <w:lvlText w:val="%1."/>
      <w:lvlJc w:val="left"/>
      <w:pPr>
        <w:tabs>
          <w:tab w:val="num" w:pos="1800"/>
        </w:tabs>
        <w:ind w:left="1800" w:hanging="360"/>
      </w:pPr>
    </w:lvl>
  </w:abstractNum>
  <w:abstractNum w:abstractNumId="1">
    <w:nsid w:val="FFFFFF7D"/>
    <w:multiLevelType w:val="singleLevel"/>
    <w:tmpl w:val="F162C7CC"/>
    <w:lvl w:ilvl="0">
      <w:start w:val="1"/>
      <w:numFmt w:val="decimal"/>
      <w:lvlText w:val="%1."/>
      <w:lvlJc w:val="left"/>
      <w:pPr>
        <w:tabs>
          <w:tab w:val="num" w:pos="1440"/>
        </w:tabs>
        <w:ind w:left="1440" w:hanging="360"/>
      </w:pPr>
    </w:lvl>
  </w:abstractNum>
  <w:abstractNum w:abstractNumId="2">
    <w:nsid w:val="FFFFFF80"/>
    <w:multiLevelType w:val="singleLevel"/>
    <w:tmpl w:val="1D267D2E"/>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50BCBF24"/>
    <w:lvl w:ilvl="0">
      <w:start w:val="1"/>
      <w:numFmt w:val="bullet"/>
      <w:pStyle w:val="TableList2"/>
      <w:lvlText w:val=""/>
      <w:lvlJc w:val="left"/>
      <w:pPr>
        <w:ind w:left="1080" w:hanging="360"/>
      </w:pPr>
      <w:rPr>
        <w:rFonts w:ascii="Symbol" w:hAnsi="Symbol" w:hint="default"/>
      </w:rPr>
    </w:lvl>
  </w:abstractNum>
  <w:abstractNum w:abstractNumId="5">
    <w:nsid w:val="FFFFFF83"/>
    <w:multiLevelType w:val="singleLevel"/>
    <w:tmpl w:val="3BD27642"/>
    <w:lvl w:ilvl="0">
      <w:start w:val="1"/>
      <w:numFmt w:val="bullet"/>
      <w:pStyle w:val="TableList1"/>
      <w:lvlText w:val=""/>
      <w:lvlJc w:val="left"/>
      <w:pPr>
        <w:ind w:left="720" w:hanging="360"/>
      </w:pPr>
      <w:rPr>
        <w:rFonts w:ascii="Symbol" w:hAnsi="Symbol" w:hint="default"/>
      </w:rPr>
    </w:lvl>
  </w:abstractNum>
  <w:abstractNum w:abstractNumId="6">
    <w:nsid w:val="FFFFFF89"/>
    <w:multiLevelType w:val="singleLevel"/>
    <w:tmpl w:val="FCC00386"/>
    <w:lvl w:ilvl="0">
      <w:start w:val="1"/>
      <w:numFmt w:val="bullet"/>
      <w:pStyle w:val="TableGrid8"/>
      <w:lvlText w:val=""/>
      <w:lvlJc w:val="left"/>
      <w:pPr>
        <w:ind w:left="360" w:hanging="360"/>
      </w:pPr>
      <w:rPr>
        <w:rFonts w:ascii="Symbol" w:hAnsi="Symbol" w:hint="default"/>
      </w:rPr>
    </w:lvl>
  </w:abstractNum>
  <w:abstractNum w:abstractNumId="7">
    <w:nsid w:val="211B44BF"/>
    <w:multiLevelType w:val="hybridMultilevel"/>
    <w:tmpl w:val="1E4C9B72"/>
    <w:lvl w:ilvl="0">
      <w:start w:val="1"/>
      <w:numFmt w:val="decimal"/>
      <w:pStyle w:val="TableFootnote"/>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nsid w:val="4CE6463D"/>
    <w:multiLevelType w:val="hybridMultilevel"/>
    <w:tmpl w:val="63FC28B0"/>
    <w:lvl w:ilvl="0" w:tplc="FEF0C644">
      <w:start w:val="1"/>
      <w:numFmt w:val="decimal"/>
      <w:pStyle w:val="TOC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start w:val="1"/>
      <w:numFmt w:val="decimal"/>
      <w:pStyle w:val="TableCellHeading"/>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65F708BE"/>
    <w:multiLevelType w:val="hybridMultilevel"/>
    <w:tmpl w:val="3FE6D8B0"/>
    <w:lvl w:ilvl="0" w:tplc="83E0A37C">
      <w:start w:val="1"/>
      <w:numFmt w:val="decimal"/>
      <w:pStyle w:val="BalloonText"/>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8"/>
  </w:num>
  <w:num w:numId="5">
    <w:abstractNumId w:val="11"/>
  </w:num>
  <w:num w:numId="6">
    <w:abstractNumId w:val="10"/>
  </w:num>
  <w:num w:numId="7">
    <w:abstractNumId w:val="7"/>
  </w:num>
  <w:num w:numId="8">
    <w:abstractNumId w:val="9"/>
  </w:num>
  <w:num w:numId="9">
    <w:abstractNumId w:val="3"/>
  </w:num>
  <w:num w:numId="10">
    <w:abstractNumId w:val="2"/>
  </w:num>
  <w:num w:numId="11">
    <w:abstractNumId w:val="1"/>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32770"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3E1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1682"/>
    <w:rsid w:val="006E2492"/>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72CE"/>
    <w:rsid w:val="008A03D1"/>
    <w:rsid w:val="008A5105"/>
    <w:rsid w:val="008A5D2C"/>
    <w:rsid w:val="008A6EDF"/>
    <w:rsid w:val="008B3614"/>
    <w:rsid w:val="008B6760"/>
    <w:rsid w:val="008B687C"/>
    <w:rsid w:val="008B70BC"/>
    <w:rsid w:val="008B783E"/>
    <w:rsid w:val="008C0AB5"/>
    <w:rsid w:val="008C448C"/>
    <w:rsid w:val="008C4A75"/>
    <w:rsid w:val="008D1C96"/>
    <w:rsid w:val="008D361E"/>
    <w:rsid w:val="008D3653"/>
    <w:rsid w:val="008D3B8C"/>
    <w:rsid w:val="008D4E05"/>
    <w:rsid w:val="008D6BA6"/>
    <w:rsid w:val="008D6FE7"/>
    <w:rsid w:val="008D7BE3"/>
    <w:rsid w:val="008E05F3"/>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59A8"/>
    <w:rsid w:val="00A772D9"/>
    <w:rsid w:val="00A8026F"/>
    <w:rsid w:val="00A82C7F"/>
    <w:rsid w:val="00A85364"/>
    <w:rsid w:val="00A855B7"/>
    <w:rsid w:val="00A87BBC"/>
    <w:rsid w:val="00A914A4"/>
    <w:rsid w:val="00A921CB"/>
    <w:rsid w:val="00A93E4E"/>
    <w:rsid w:val="00A96C3E"/>
    <w:rsid w:val="00AA0162"/>
    <w:rsid w:val="00AA2F5C"/>
    <w:rsid w:val="00AA66B0"/>
    <w:rsid w:val="00AA6A5B"/>
    <w:rsid w:val="00AA6B02"/>
    <w:rsid w:val="00AA739E"/>
    <w:rsid w:val="00AB41A7"/>
    <w:rsid w:val="00AC0D86"/>
    <w:rsid w:val="00AC1EC5"/>
    <w:rsid w:val="00AD00C5"/>
    <w:rsid w:val="00AD26E9"/>
    <w:rsid w:val="00AD2718"/>
    <w:rsid w:val="00AD2FA0"/>
    <w:rsid w:val="00AD3E29"/>
    <w:rsid w:val="00AE5952"/>
    <w:rsid w:val="00AE68E3"/>
    <w:rsid w:val="00AE732D"/>
    <w:rsid w:val="00AE73F5"/>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72BE"/>
    <w:rsid w:val="00CD1385"/>
    <w:rsid w:val="00CD1761"/>
    <w:rsid w:val="00CD2B71"/>
    <w:rsid w:val="00CD36B3"/>
    <w:rsid w:val="00CD4C7B"/>
    <w:rsid w:val="00CD4EAF"/>
    <w:rsid w:val="00CD5928"/>
    <w:rsid w:val="00CD72B5"/>
    <w:rsid w:val="00CF2A25"/>
    <w:rsid w:val="00CF3A34"/>
    <w:rsid w:val="00D00068"/>
    <w:rsid w:val="00D034AA"/>
    <w:rsid w:val="00D04518"/>
    <w:rsid w:val="00D04E13"/>
    <w:rsid w:val="00D111F5"/>
    <w:rsid w:val="00D12896"/>
    <w:rsid w:val="00D14D7D"/>
    <w:rsid w:val="00D1621E"/>
    <w:rsid w:val="00D17116"/>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4796"/>
    <w:rsid w:val="00DA4915"/>
    <w:rsid w:val="00DA620C"/>
    <w:rsid w:val="00DA7504"/>
    <w:rsid w:val="00DB52E9"/>
    <w:rsid w:val="00DB5F1C"/>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3834"/>
    <w:rsid w:val="00E7645A"/>
    <w:rsid w:val="00E81F0D"/>
    <w:rsid w:val="00E82143"/>
    <w:rsid w:val="00E8235A"/>
    <w:rsid w:val="00E840E8"/>
    <w:rsid w:val="00E86267"/>
    <w:rsid w:val="00E9292A"/>
    <w:rsid w:val="00E92A0B"/>
    <w:rsid w:val="00E92C64"/>
    <w:rsid w:val="00E94CC5"/>
    <w:rsid w:val="00E94E89"/>
    <w:rsid w:val="00E9617F"/>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341D"/>
    <w:rsid w:val="00F33459"/>
    <w:rsid w:val="00F370F7"/>
    <w:rsid w:val="00F37F43"/>
    <w:rsid w:val="00F435C3"/>
    <w:rsid w:val="00F461C4"/>
    <w:rsid w:val="00F4700C"/>
    <w:rsid w:val="00F50E8B"/>
    <w:rsid w:val="00F53190"/>
    <w:rsid w:val="00F53F44"/>
    <w:rsid w:val="00F57F61"/>
    <w:rsid w:val="00F60B44"/>
    <w:rsid w:val="00F6163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uiPriority="99" w:qFormat="1"/>
    <w:lsdException w:name="heading 8" w:uiPriority="99" w:qFormat="1"/>
    <w:lsdException w:name="heading 9" w:uiPriority="99"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uiPriority="39"/>
    <w:lsdException w:name="toc 2" w:uiPriority="39"/>
    <w:lsdException w:name="toc 3" w:uiPriority="39"/>
    <w:lsdException w:name="toc 4" w:uiPriority="39"/>
    <w:lsdException w:name="toc 5" w:uiPriority="3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footnote text" w:qFormat="1"/>
    <w:lsdException w:name="annotation text" w:uiPriority="99"/>
    <w:lsdException w:name="header" w:semiHidden="1" w:uiPriority="99"/>
    <w:lsdException w:name="footer" w:uiPriority="99"/>
    <w:lsdException w:name="index heading" w:semiHidden="1" w:uiPriority="99"/>
    <w:lsdException w:name="caption" w:semiHidden="1" w:uiPriority="99" w:unhideWhenUsed="1" w:qFormat="1"/>
    <w:lsdException w:name="table of figures" w:uiPriority="99"/>
    <w:lsdException w:name="envelope address" w:semiHidden="1" w:uiPriority="99"/>
    <w:lsdException w:name="envelope return" w:semiHidden="1" w:uiPriority="99"/>
    <w:lsdException w:name="annotation reference" w:semiHidden="1" w:uiPriority="99"/>
    <w:lsdException w:name="line number" w:semiHidden="1"/>
    <w:lsdException w:name="page number" w:uiPriority="99"/>
    <w:lsdException w:name="endnote reference" w:semiHidden="1"/>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Bullet" w:qFormat="1"/>
    <w:lsdException w:name="List Number" w:qFormat="1"/>
    <w:lsdException w:name="List 2" w:semiHidden="1" w:uiPriority="99"/>
    <w:lsdException w:name="List 3" w:semiHidden="1" w:uiPriority="99"/>
    <w:lsdException w:name="List 4" w:semiHidden="1" w:uiPriority="99"/>
    <w:lsdException w:name="List 5" w:semiHidden="1" w:uiPriority="99"/>
    <w:lsdException w:name="List Bullet 2" w:qFormat="1"/>
    <w:lsdException w:name="List Bullet 3" w:qFormat="1"/>
    <w:lsdException w:name="List Bullet 4" w:semiHidden="1" w:uiPriority="99"/>
    <w:lsdException w:name="List Bullet 5" w:semiHidden="1" w:uiPriority="99"/>
    <w:lsdException w:name="List Number 2" w:qFormat="1"/>
    <w:lsdException w:name="List Number 3" w:qFormat="1"/>
    <w:lsdException w:name="List Number 4" w:semiHidden="1" w:uiPriority="99"/>
    <w:lsdException w:name="List Number 5" w:semiHidden="1" w:uiPriority="99"/>
    <w:lsdException w:name="Title" w:qFormat="1"/>
    <w:lsdException w:name="Closing" w:semiHidden="1" w:uiPriority="99"/>
    <w:lsdException w:name="Body Text" w:qFormat="1"/>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semiHidden="1"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9"/>
    <w:lsdException w:name="Body Text 3" w:semiHidden="1" w:uiPriority="99"/>
    <w:lsdException w:name="Body Text Indent 2" w:semiHidden="1" w:uiPriority="99"/>
    <w:lsdException w:name="Body Text Indent 3" w:semiHidden="1" w:uiPriority="99"/>
    <w:lsdException w:name="Block Text" w:semiHidden="1" w:uiPriority="99"/>
    <w:lsdException w:name="Hyperlink" w:uiPriority="99" w:qFormat="1"/>
    <w:lsdException w:name="FollowedHyperlink" w:semiHidden="1"/>
    <w:lsdException w:name="Strong" w:qFormat="1"/>
    <w:lsdException w:name="Emphasis" w:qFormat="1"/>
    <w:lsdException w:name="Document Map" w:semiHidden="1" w:uiPriority="99"/>
    <w:lsdException w:name="Plain Text" w:semiHidden="1" w:uiPriority="99"/>
    <w:lsdException w:name="E-mail Signature" w:semiHidden="1" w:uiPriority="99"/>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annotation subject" w:uiPriority="99"/>
    <w:lsdException w:name="No List" w:uiPriority="99"/>
    <w:lsdException w:name="Balloon Text" w:semiHidden="1" w:uiPriority="99"/>
    <w:lsdException w:name="Table Grid" w:uiPriority="59"/>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qFormat="1"/>
    <w:lsdException w:name="Quote" w:semiHidden="1" w:uiPriority="99" w:qFormat="1"/>
    <w:lsdException w:name="Intense Quote" w:semiHidden="1"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99" w:unhideWhenUsed="1"/>
    <w:lsdException w:name="TOC Heading" w:semiHidden="1" w:uiPriority="9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9"/>
    <w:qFormat/>
    <w:rsid w:val="00453FB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453FBD"/>
    <w:pPr>
      <w:numPr>
        <w:ilvl w:val="6"/>
        <w:numId w:val="4"/>
      </w:numPr>
      <w:spacing w:before="240" w:after="60"/>
      <w:outlineLvl w:val="6"/>
    </w:pPr>
  </w:style>
  <w:style w:type="paragraph" w:styleId="Heading8">
    <w:name w:val="heading 8"/>
    <w:basedOn w:val="Normal"/>
    <w:next w:val="Normal"/>
    <w:link w:val="Heading8Char"/>
    <w:uiPriority w:val="99"/>
    <w:qFormat/>
    <w:rsid w:val="00453FBD"/>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0B41C2"/>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BodyTextChar">
    <w:name w:val="Body Text Char"/>
    <w:basedOn w:val="DefaultParagraphFont"/>
    <w:link w:val="BodyText"/>
    <w:rsid w:val="009B0384"/>
    <w:rPr>
      <w:sz w:val="24"/>
    </w:rPr>
  </w:style>
  <w:style w:type="character" w:customStyle="1" w:styleId="Heading1Char">
    <w:name w:val="Heading 1 Char"/>
    <w:basedOn w:val="DefaultParagraphFont"/>
    <w:link w:val="Heading1"/>
    <w:rsid w:val="005C2983"/>
    <w:rPr>
      <w:rFonts w:ascii="Arial Narrow" w:hAnsi="Arial Narrow" w:cs="Arial"/>
      <w:b/>
      <w:bCs/>
      <w:kern w:val="32"/>
      <w:sz w:val="32"/>
      <w:szCs w:val="32"/>
    </w:rPr>
  </w:style>
  <w:style w:type="character" w:customStyle="1" w:styleId="Heading2Char">
    <w:name w:val="Heading 2 Char"/>
    <w:basedOn w:val="DefaultParagraphFont"/>
    <w:link w:val="Heading2"/>
    <w:rsid w:val="007B03C0"/>
    <w:rPr>
      <w:rFonts w:ascii="Arial Narrow" w:hAnsi="Arial Narrow"/>
      <w:b/>
      <w:bCs/>
      <w:iCs/>
      <w:sz w:val="24"/>
      <w:szCs w:val="24"/>
    </w:rPr>
  </w:style>
  <w:style w:type="character" w:customStyle="1" w:styleId="Heading3Char">
    <w:name w:val="Heading 3 Char"/>
    <w:basedOn w:val="DefaultParagraphFont"/>
    <w:link w:val="Heading3"/>
    <w:rsid w:val="00A2311D"/>
    <w:rPr>
      <w:rFonts w:ascii="Arial Narrow" w:hAnsi="Arial Narrow" w:cs="Arial"/>
      <w:bCs/>
      <w:sz w:val="26"/>
      <w:szCs w:val="26"/>
    </w:rPr>
  </w:style>
  <w:style w:type="character" w:customStyle="1" w:styleId="Heading4Char">
    <w:name w:val="Heading 4 Char"/>
    <w:basedOn w:val="DefaultParagraphFont"/>
    <w:link w:val="Heading4"/>
    <w:rsid w:val="00A2311D"/>
    <w:rPr>
      <w:rFonts w:ascii="Arial Narrow" w:hAnsi="Arial Narrow"/>
      <w:bCs/>
      <w:sz w:val="22"/>
      <w:szCs w:val="22"/>
    </w:rPr>
  </w:style>
  <w:style w:type="character" w:customStyle="1" w:styleId="Heading5Char">
    <w:name w:val="Heading 5 Char"/>
    <w:basedOn w:val="DefaultParagraphFont"/>
    <w:link w:val="Heading5"/>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9"/>
    <w:rsid w:val="00A2311D"/>
    <w:rPr>
      <w:b/>
      <w:bCs/>
      <w:sz w:val="22"/>
      <w:szCs w:val="22"/>
    </w:rPr>
  </w:style>
  <w:style w:type="character" w:customStyle="1" w:styleId="Heading7Char">
    <w:name w:val="Heading 7 Char"/>
    <w:basedOn w:val="DefaultParagraphFont"/>
    <w:link w:val="Heading7"/>
    <w:uiPriority w:val="99"/>
    <w:rsid w:val="00A2311D"/>
    <w:rPr>
      <w:sz w:val="24"/>
      <w:szCs w:val="24"/>
    </w:rPr>
  </w:style>
  <w:style w:type="character" w:customStyle="1" w:styleId="Heading8Char">
    <w:name w:val="Heading 8 Char"/>
    <w:basedOn w:val="DefaultParagraphFont"/>
    <w:link w:val="Heading8"/>
    <w:uiPriority w:val="99"/>
    <w:rsid w:val="00A2311D"/>
    <w:rPr>
      <w:i/>
      <w:iCs/>
      <w:sz w:val="24"/>
      <w:szCs w:val="24"/>
    </w:rPr>
  </w:style>
  <w:style w:type="character" w:customStyle="1" w:styleId="Heading9Char">
    <w:name w:val="Heading 9 Char"/>
    <w:basedOn w:val="DefaultParagraphFont"/>
    <w:link w:val="Heading9"/>
    <w:uiPriority w:val="99"/>
    <w:rsid w:val="00A2311D"/>
    <w:rPr>
      <w:rFonts w:ascii="Arial Narrow" w:hAnsi="Arial Narrow" w:cs="Arial"/>
      <w:sz w:val="22"/>
      <w:szCs w:val="22"/>
    </w:rPr>
  </w:style>
  <w:style w:type="paragraph" w:styleId="Title">
    <w:name w:val="Title"/>
    <w:basedOn w:val="Normal"/>
    <w:next w:val="Authors"/>
    <w:link w:val="TitleChar"/>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TitleChar">
    <w:name w:val="Title Char"/>
    <w:basedOn w:val="DefaultParagraphFont"/>
    <w:link w:val="Title"/>
    <w:rsid w:val="00A2311D"/>
    <w:rPr>
      <w:rFonts w:ascii="Arial Narrow" w:hAnsi="Arial Narrow" w:cs="Arial"/>
      <w:b/>
      <w:bCs/>
      <w:kern w:val="28"/>
      <w:sz w:val="44"/>
      <w:szCs w:val="32"/>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ListBullet">
    <w:name w:val="List Bullet"/>
    <w:basedOn w:val="Normal"/>
    <w:qFormat/>
    <w:rsid w:val="00B83521"/>
    <w:pPr>
      <w:numPr>
        <w:numId w:val="3"/>
      </w:numPr>
    </w:pPr>
  </w:style>
  <w:style w:type="paragraph" w:styleId="BalloonText">
    <w:name w:val="Balloon Text"/>
    <w:basedOn w:val="Normal"/>
    <w:link w:val="BalloonTextChar"/>
    <w:uiPriority w:val="99"/>
    <w:rsid w:val="00B354A3"/>
    <w:rPr>
      <w:rFonts w:ascii="Tahoma" w:hAnsi="Tahoma" w:cs="Tahoma"/>
      <w:sz w:val="16"/>
      <w:szCs w:val="16"/>
    </w:rPr>
  </w:style>
  <w:style w:type="character" w:customStyle="1" w:styleId="BalloonTextChar">
    <w:name w:val="Balloon Text Char"/>
    <w:basedOn w:val="DefaultParagraphFont"/>
    <w:link w:val="BalloonText"/>
    <w:uiPriority w:val="99"/>
    <w:rsid w:val="00B354A3"/>
    <w:rPr>
      <w:rFonts w:ascii="Tahoma" w:hAnsi="Tahoma" w:cs="Tahoma"/>
      <w:sz w:val="16"/>
      <w:szCs w:val="16"/>
    </w:rPr>
  </w:style>
  <w:style w:type="paragraph" w:customStyle="1" w:styleId="FigureCaption">
    <w:name w:val="FigureCaption"/>
    <w:basedOn w:val="Normal"/>
    <w:next w:val="BodyText"/>
    <w:link w:val="FigureCaptionChar"/>
    <w:autoRedefine/>
    <w:qFormat/>
    <w:rsid w:val="00DE3DAB"/>
    <w:pPr>
      <w:spacing w:before="240"/>
    </w:pPr>
    <w:rPr>
      <w:rFonts w:ascii="Arial Narrow" w:hAnsi="Arial Narrow"/>
      <w:szCs w:val="18"/>
    </w:rPr>
  </w:style>
  <w:style w:type="character" w:customStyle="1" w:styleId="FigureCaptionChar">
    <w:name w:val="FigureCaption Char"/>
    <w:basedOn w:val="DefaultParagraphFont"/>
    <w:link w:val="FigureCaption"/>
    <w:locked/>
    <w:rsid w:val="006E1682"/>
    <w:rPr>
      <w:rFonts w:ascii="Arial Narrow" w:hAnsi="Arial Narrow"/>
      <w:sz w:val="24"/>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link w:val="ReferenceChar"/>
    <w:qFormat/>
    <w:rsid w:val="00B85FF2"/>
    <w:pPr>
      <w:ind w:left="202" w:hanging="202"/>
    </w:pPr>
  </w:style>
  <w:style w:type="character" w:customStyle="1" w:styleId="ReferenceChar">
    <w:name w:val="Reference Char"/>
    <w:basedOn w:val="DefaultParagraphFont"/>
    <w:link w:val="Reference"/>
    <w:rsid w:val="006E1682"/>
    <w:rPr>
      <w:sz w:val="24"/>
      <w:szCs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uiPriority w:val="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link w:val="TableHeadnoteChar"/>
    <w:qFormat/>
    <w:rsid w:val="004718F8"/>
    <w:rPr>
      <w:szCs w:val="16"/>
    </w:rPr>
  </w:style>
  <w:style w:type="character" w:customStyle="1" w:styleId="TableHeadnoteChar">
    <w:name w:val="TableHeadnote Char"/>
    <w:basedOn w:val="DefaultParagraphFont"/>
    <w:link w:val="TableHeadnote"/>
    <w:rsid w:val="006E1682"/>
    <w:rPr>
      <w:sz w:val="24"/>
      <w:szCs w:val="16"/>
    </w:rPr>
  </w:style>
  <w:style w:type="paragraph" w:customStyle="1" w:styleId="TableTitle">
    <w:name w:val="TableTitle"/>
    <w:basedOn w:val="Normal"/>
    <w:next w:val="TableHeadnote"/>
    <w:qFormat/>
    <w:rsid w:val="00025047"/>
    <w:pPr>
      <w:numPr>
        <w:numId w:val="5"/>
      </w:numPr>
      <w:spacing w:before="240"/>
    </w:pPr>
    <w:rPr>
      <w:rFonts w:ascii="Arial Narrow" w:hAnsi="Arial Narrow"/>
      <w:szCs w:val="18"/>
    </w:rPr>
  </w:style>
  <w:style w:type="paragraph" w:customStyle="1" w:styleId="Logo">
    <w:name w:val="Logo"/>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rsid w:val="00E71AD6"/>
    <w:pPr>
      <w:spacing w:line="320" w:lineRule="exact"/>
      <w:ind w:left="2520"/>
    </w:pPr>
    <w:rPr>
      <w:rFonts w:ascii="Arial Narrow" w:hAnsi="Arial Narrow"/>
      <w:b/>
      <w:sz w:val="28"/>
      <w:szCs w:val="28"/>
    </w:rPr>
  </w:style>
  <w:style w:type="paragraph" w:customStyle="1" w:styleId="BOTPOfficial">
    <w:name w:val="BOTPOfficial"/>
    <w:basedOn w:val="Normal"/>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customStyle="1" w:styleId="FooterChar">
    <w:name w:val="Footer Char"/>
    <w:basedOn w:val="DefaultParagraphFont"/>
    <w:link w:val="Footer"/>
    <w:uiPriority w:val="99"/>
    <w:rsid w:val="00A2311D"/>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8"/>
      </w:numPr>
      <w:spacing w:before="80" w:after="80"/>
    </w:pPr>
  </w:style>
  <w:style w:type="paragraph" w:styleId="ListNumber2">
    <w:name w:val="List Number 2"/>
    <w:basedOn w:val="Normal"/>
    <w:qFormat/>
    <w:rsid w:val="00DF6B9F"/>
    <w:pPr>
      <w:numPr>
        <w:numId w:val="6"/>
      </w:numPr>
      <w:spacing w:before="80" w:after="80"/>
    </w:pPr>
  </w:style>
  <w:style w:type="paragraph" w:styleId="ListNumber3">
    <w:name w:val="List Number 3"/>
    <w:basedOn w:val="Normal"/>
    <w:qFormat/>
    <w:rsid w:val="00DF6B9F"/>
    <w:pPr>
      <w:numPr>
        <w:numId w:val="7"/>
      </w:numPr>
      <w:spacing w:before="80" w:after="80"/>
    </w:pPr>
  </w:style>
  <w:style w:type="paragraph" w:styleId="CommentText">
    <w:name w:val="annotation text"/>
    <w:basedOn w:val="Normal"/>
    <w:link w:val="CommentTextChar"/>
    <w:uiPriority w:val="99"/>
    <w:rsid w:val="0096175C"/>
  </w:style>
  <w:style w:type="character" w:customStyle="1" w:styleId="CommentTextChar">
    <w:name w:val="Comment Text Char"/>
    <w:basedOn w:val="DefaultParagraphFont"/>
    <w:link w:val="CommentText"/>
    <w:uiPriority w:val="99"/>
    <w:rsid w:val="00A2311D"/>
  </w:style>
  <w:style w:type="character" w:styleId="PageNumber">
    <w:name w:val="page number"/>
    <w:basedOn w:val="DefaultParagraphFont"/>
    <w:uiPriority w:val="99"/>
    <w:rsid w:val="00712F82"/>
  </w:style>
  <w:style w:type="paragraph" w:styleId="Signature">
    <w:name w:val="Signature"/>
    <w:basedOn w:val="Normal"/>
    <w:link w:val="SignatureChar"/>
    <w:semiHidden/>
    <w:rsid w:val="00712F82"/>
    <w:pPr>
      <w:ind w:left="4320"/>
    </w:pPr>
  </w:style>
  <w:style w:type="character" w:customStyle="1" w:styleId="SignatureChar">
    <w:name w:val="Signature Char"/>
    <w:basedOn w:val="DefaultParagraphFont"/>
    <w:link w:val="Signature"/>
    <w:semiHidden/>
    <w:rsid w:val="006E1682"/>
    <w:rPr>
      <w:sz w:val="24"/>
      <w:szCs w:val="24"/>
    </w:r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paragraph" w:customStyle="1" w:styleId="Series">
    <w:name w:val="Series"/>
    <w:rsid w:val="00A00109"/>
    <w:pPr>
      <w:spacing w:before="1440" w:after="1440"/>
    </w:pPr>
    <w:rPr>
      <w:rFonts w:ascii="Arial Narrow" w:hAnsi="Arial Narrow" w:cs="Arial"/>
      <w:bCs/>
      <w:kern w:val="32"/>
      <w:sz w:val="28"/>
      <w:szCs w:val="32"/>
    </w:rPr>
  </w:style>
  <w:style w:type="paragraph" w:customStyle="1" w:styleId="DBID">
    <w:name w:val="DBID"/>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uiPriority w:val="1"/>
    <w:qFormat/>
    <w:rsid w:val="0014667E"/>
    <w:rPr>
      <w:rFonts w:ascii="Times New Roman" w:hAnsi="Times New Roman"/>
      <w:b/>
      <w:i/>
    </w:rPr>
  </w:style>
  <w:style w:type="paragraph" w:customStyle="1" w:styleId="TOCHeading1">
    <w:name w:val="TOCHeading1"/>
    <w:basedOn w:val="Heading1"/>
    <w:uiPriority w:val="1"/>
    <w:qFormat/>
    <w:rsid w:val="00251FD1"/>
  </w:style>
  <w:style w:type="paragraph" w:customStyle="1" w:styleId="ConvFactorBody">
    <w:name w:val="ConvFactorBody"/>
    <w:basedOn w:val="Normal"/>
    <w:qFormat/>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uiPriority w:val="99"/>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uiPriority w:val="1"/>
    <w:qFormat/>
    <w:rsid w:val="0014667E"/>
    <w:rPr>
      <w:rFonts w:ascii="Times New Roman" w:hAnsi="Times New Roman"/>
      <w:i/>
      <w:vertAlign w:val="superscript"/>
    </w:rPr>
  </w:style>
  <w:style w:type="character" w:customStyle="1" w:styleId="SubEmphasis">
    <w:name w:val="SubEmphasis"/>
    <w:basedOn w:val="DefaultParagraphFont"/>
    <w:uiPriority w:val="1"/>
    <w:qFormat/>
    <w:rsid w:val="0014667E"/>
    <w:rPr>
      <w:rFonts w:ascii="Times New Roman" w:hAnsi="Times New Roman"/>
      <w:i/>
      <w:vertAlign w:val="subscript"/>
    </w:rPr>
  </w:style>
  <w:style w:type="paragraph" w:styleId="CommentSubject">
    <w:name w:val="annotation subject"/>
    <w:basedOn w:val="CommentText"/>
    <w:next w:val="CommentText"/>
    <w:link w:val="CommentSubjectChar"/>
    <w:uiPriority w:val="99"/>
    <w:semiHidden/>
    <w:rsid w:val="0096175C"/>
    <w:rPr>
      <w:b/>
      <w:bCs/>
    </w:rPr>
  </w:style>
  <w:style w:type="character" w:customStyle="1" w:styleId="CommentSubjectChar">
    <w:name w:val="Comment Subject Char"/>
    <w:basedOn w:val="CommentTextChar"/>
    <w:link w:val="CommentSubject"/>
    <w:uiPriority w:val="99"/>
    <w:semiHidden/>
    <w:rsid w:val="006E1682"/>
    <w:rPr>
      <w:b/>
      <w:bCs/>
      <w:sz w:val="24"/>
      <w:szCs w:val="24"/>
    </w:rPr>
  </w:style>
  <w:style w:type="paragraph" w:customStyle="1" w:styleId="TOCHeading2">
    <w:name w:val="TOCHeading2"/>
    <w:basedOn w:val="TOCHeading1"/>
    <w:uiPriority w:val="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iPriority w:val="99"/>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99"/>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uiPriority w:val="99"/>
    <w:semiHidden/>
    <w:rsid w:val="00A2311D"/>
    <w:rPr>
      <w:sz w:val="24"/>
      <w:lang w:eastAsia="en-AU"/>
    </w:rPr>
  </w:style>
  <w:style w:type="paragraph" w:styleId="EndnoteText">
    <w:name w:val="endnote text"/>
    <w:basedOn w:val="Normal"/>
    <w:link w:val="EndnoteTextChar"/>
    <w:uiPriority w:val="99"/>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99"/>
    <w:rsid w:val="00A2311D"/>
    <w:pPr>
      <w:widowControl w:val="0"/>
      <w:ind w:left="960"/>
      <w:jc w:val="both"/>
    </w:pPr>
    <w:rPr>
      <w:lang w:eastAsia="en-AU" w:bidi="en-US"/>
    </w:rPr>
  </w:style>
  <w:style w:type="paragraph" w:styleId="TOC7">
    <w:name w:val="toc 7"/>
    <w:basedOn w:val="Normal"/>
    <w:next w:val="Normal"/>
    <w:uiPriority w:val="99"/>
    <w:rsid w:val="00A2311D"/>
    <w:pPr>
      <w:widowControl w:val="0"/>
      <w:ind w:left="1200"/>
      <w:jc w:val="both"/>
    </w:pPr>
    <w:rPr>
      <w:lang w:eastAsia="en-AU" w:bidi="en-US"/>
    </w:rPr>
  </w:style>
  <w:style w:type="paragraph" w:styleId="TOC8">
    <w:name w:val="toc 8"/>
    <w:basedOn w:val="Normal"/>
    <w:next w:val="Normal"/>
    <w:uiPriority w:val="99"/>
    <w:rsid w:val="00A2311D"/>
    <w:pPr>
      <w:widowControl w:val="0"/>
      <w:ind w:left="1440"/>
      <w:jc w:val="both"/>
    </w:pPr>
    <w:rPr>
      <w:lang w:eastAsia="en-AU" w:bidi="en-US"/>
    </w:rPr>
  </w:style>
  <w:style w:type="paragraph" w:styleId="TOC9">
    <w:name w:val="toc 9"/>
    <w:basedOn w:val="Normal"/>
    <w:next w:val="Normal"/>
    <w:uiPriority w:val="9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uiPriority w:val="99"/>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uiPriority w:val="99"/>
    <w:rsid w:val="00A2311D"/>
    <w:rPr>
      <w:i/>
      <w:sz w:val="24"/>
      <w:lang w:eastAsia="en-AU" w:bidi="en-US"/>
    </w:rPr>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uiPriority w:val="99"/>
    <w:semiHidden/>
    <w:rsid w:val="00A2311D"/>
    <w:rPr>
      <w:rFonts w:ascii="Tahoma" w:hAnsi="Tahoma"/>
      <w:sz w:val="24"/>
      <w:shd w:val="clear" w:color="auto" w:fill="000080"/>
      <w:lang w:eastAsia="en-AU"/>
    </w:rPr>
  </w:style>
  <w:style w:type="paragraph" w:styleId="DocumentMap">
    <w:name w:val="Document Map"/>
    <w:basedOn w:val="Normal"/>
    <w:link w:val="DocumentMapChar"/>
    <w:uiPriority w:val="99"/>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uiPriority w:val="99"/>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uiPriority w:val="99"/>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uiPriority w:val="99"/>
    <w:rsid w:val="00A2311D"/>
    <w:pPr>
      <w:ind w:left="360" w:hanging="360"/>
      <w:jc w:val="both"/>
    </w:pPr>
    <w:rPr>
      <w:rFonts w:ascii="Times" w:hAnsi="Times"/>
      <w:lang w:bidi="en-US"/>
    </w:rPr>
  </w:style>
  <w:style w:type="paragraph" w:styleId="List2">
    <w:name w:val="List 2"/>
    <w:basedOn w:val="Normal"/>
    <w:uiPriority w:val="99"/>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uiPriority w:val="99"/>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uiPriority w:val="99"/>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paragraph" w:styleId="TOCHeading">
    <w:name w:val="TOC Heading"/>
    <w:basedOn w:val="Heading1"/>
    <w:next w:val="Normal"/>
    <w:uiPriority w:val="9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99"/>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99"/>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99"/>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99"/>
    <w:rsid w:val="00A2311D"/>
    <w:rPr>
      <w:rFonts w:eastAsiaTheme="minorEastAsia" w:cstheme="minorBidi"/>
      <w:sz w:val="22"/>
      <w:lang w:bidi="en-US"/>
    </w:rPr>
  </w:style>
  <w:style w:type="paragraph" w:styleId="Quote">
    <w:name w:val="Quote"/>
    <w:basedOn w:val="Normal"/>
    <w:next w:val="Normal"/>
    <w:link w:val="QuoteChar"/>
    <w:uiPriority w:val="9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99"/>
    <w:rsid w:val="00A2311D"/>
    <w:rPr>
      <w:rFonts w:eastAsiaTheme="minorEastAsia" w:cstheme="minorBidi"/>
      <w:i/>
      <w:sz w:val="22"/>
      <w:lang w:bidi="en-US"/>
    </w:rPr>
  </w:style>
  <w:style w:type="paragraph" w:styleId="IntenseQuote">
    <w:name w:val="Intense Quote"/>
    <w:basedOn w:val="Normal"/>
    <w:next w:val="Normal"/>
    <w:link w:val="IntenseQuoteChar"/>
    <w:uiPriority w:val="99"/>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99"/>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link w:val="NormalWebChar"/>
    <w:uiPriority w:val="99"/>
    <w:unhideWhenUsed/>
    <w:rsid w:val="00A2311D"/>
    <w:pPr>
      <w:spacing w:before="100" w:beforeAutospacing="1"/>
    </w:pPr>
  </w:style>
  <w:style w:type="character" w:customStyle="1" w:styleId="NormalWebChar">
    <w:name w:val="Normal (Web) Char"/>
    <w:basedOn w:val="DefaultParagraphFont"/>
    <w:link w:val="NormalWeb"/>
    <w:uiPriority w:val="99"/>
    <w:locked/>
    <w:rsid w:val="006E1682"/>
    <w:rPr>
      <w:sz w:val="24"/>
      <w:szCs w:val="24"/>
    </w:r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uiPriority w:val="99"/>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ListChar">
    <w:name w:val="AuthorsList Char"/>
    <w:basedOn w:val="AuthorsChar"/>
    <w:link w:val="AuthorsList"/>
    <w:rsid w:val="0025632F"/>
    <w:rPr>
      <w:b/>
    </w:rPr>
  </w:style>
  <w:style w:type="paragraph" w:customStyle="1" w:styleId="TableCell">
    <w:name w:val="Table Cell"/>
    <w:basedOn w:val="Normal"/>
    <w:link w:val="TableCellChar1"/>
    <w:uiPriority w:val="99"/>
    <w:semiHidden/>
    <w:qFormat/>
    <w:rsid w:val="006E1682"/>
    <w:pPr>
      <w:spacing w:after="0" w:afterAutospacing="0" w:line="240" w:lineRule="auto"/>
    </w:pPr>
    <w:rPr>
      <w:rFonts w:eastAsiaTheme="majorEastAsia" w:cstheme="majorBidi"/>
      <w:bCs/>
      <w:szCs w:val="26"/>
    </w:rPr>
  </w:style>
  <w:style w:type="character" w:customStyle="1" w:styleId="TableCellChar1">
    <w:name w:val="Table Cell Char1"/>
    <w:link w:val="TableCell"/>
    <w:uiPriority w:val="99"/>
    <w:semiHidden/>
    <w:rsid w:val="006E1682"/>
    <w:rPr>
      <w:rFonts w:eastAsiaTheme="majorEastAsia" w:cstheme="majorBidi"/>
      <w:bCs/>
      <w:sz w:val="24"/>
      <w:szCs w:val="26"/>
    </w:rPr>
  </w:style>
  <w:style w:type="paragraph" w:customStyle="1" w:styleId="ReferenceList">
    <w:name w:val="Reference List"/>
    <w:basedOn w:val="Reference"/>
    <w:link w:val="ReferenceListChar"/>
    <w:uiPriority w:val="99"/>
    <w:semiHidden/>
    <w:qFormat/>
    <w:rsid w:val="006E1682"/>
    <w:pPr>
      <w:spacing w:after="0" w:afterAutospacing="0" w:line="240" w:lineRule="auto"/>
    </w:pPr>
  </w:style>
  <w:style w:type="character" w:customStyle="1" w:styleId="ReferenceListChar">
    <w:name w:val="Reference List Char"/>
    <w:basedOn w:val="ReferenceChar"/>
    <w:link w:val="ReferenceList"/>
    <w:uiPriority w:val="99"/>
    <w:semiHidden/>
    <w:rsid w:val="006E1682"/>
  </w:style>
  <w:style w:type="paragraph" w:customStyle="1" w:styleId="InPocket">
    <w:name w:val="InPocket"/>
    <w:basedOn w:val="TableofFigures"/>
    <w:qFormat/>
    <w:rsid w:val="006E1682"/>
    <w:pPr>
      <w:tabs>
        <w:tab w:val="left" w:pos="1200"/>
        <w:tab w:val="right" w:leader="dot" w:pos="10257"/>
      </w:tabs>
    </w:pPr>
    <w:rPr>
      <w:szCs w:val="24"/>
    </w:rPr>
  </w:style>
  <w:style w:type="paragraph" w:customStyle="1" w:styleId="FigureInsert">
    <w:name w:val="FigureInsert"/>
    <w:next w:val="FigureCaption"/>
    <w:qFormat/>
    <w:rsid w:val="006E1682"/>
    <w:pPr>
      <w:keepNext/>
      <w:spacing w:before="240" w:after="120" w:line="480" w:lineRule="auto"/>
    </w:pPr>
    <w:rPr>
      <w:b/>
      <w:sz w:val="24"/>
      <w:szCs w:val="40"/>
    </w:rPr>
  </w:style>
  <w:style w:type="paragraph" w:customStyle="1" w:styleId="TOCGrouped">
    <w:name w:val="TOCGrouped"/>
    <w:basedOn w:val="TOCLists"/>
    <w:uiPriority w:val="1"/>
    <w:qFormat/>
    <w:rsid w:val="006E1682"/>
    <w:pPr>
      <w:tabs>
        <w:tab w:val="left" w:pos="720"/>
        <w:tab w:val="left" w:pos="1350"/>
      </w:tabs>
      <w:spacing w:after="0" w:afterAutospacing="0"/>
      <w:ind w:left="1350" w:hanging="1350"/>
    </w:pPr>
    <w:rPr>
      <w:noProof/>
    </w:rPr>
  </w:style>
  <w:style w:type="paragraph" w:customStyle="1" w:styleId="ConvFactorNote">
    <w:name w:val="ConvFactorNote"/>
    <w:basedOn w:val="TableHeadnote"/>
    <w:rsid w:val="006E1682"/>
    <w:pPr>
      <w:keepNext/>
      <w:spacing w:before="240" w:after="0" w:afterAutospacing="0" w:line="240" w:lineRule="auto"/>
    </w:pPr>
    <w:rPr>
      <w:rFonts w:ascii="Arial Narrow" w:hAnsi="Arial Narrow"/>
      <w:sz w:val="20"/>
      <w:szCs w:val="20"/>
    </w:rPr>
  </w:style>
  <w:style w:type="paragraph" w:customStyle="1" w:styleId="ISBNISSN">
    <w:name w:val="ISBN/ISSN"/>
    <w:basedOn w:val="BOTPNotes2"/>
    <w:rsid w:val="006E1682"/>
    <w:pPr>
      <w:spacing w:before="240" w:after="480" w:afterAutospacing="0" w:line="240" w:lineRule="auto"/>
    </w:pPr>
    <w:rPr>
      <w:sz w:val="12"/>
    </w:rPr>
  </w:style>
  <w:style w:type="paragraph" w:customStyle="1" w:styleId="Version">
    <w:name w:val="Version"/>
    <w:rsid w:val="006E1682"/>
    <w:pPr>
      <w:spacing w:line="480" w:lineRule="auto"/>
    </w:pPr>
    <w:rPr>
      <w:rFonts w:ascii="Arial Narrow" w:hAnsi="Arial Narrow" w:cs="Arial"/>
      <w:bCs/>
      <w:kern w:val="32"/>
      <w:sz w:val="24"/>
      <w:szCs w:val="32"/>
    </w:rPr>
  </w:style>
  <w:style w:type="paragraph" w:customStyle="1" w:styleId="ISSNISBNDOIBackCover">
    <w:name w:val="ISSN/ISBN/DOI Back Cover"/>
    <w:basedOn w:val="ISBNISSN"/>
    <w:rsid w:val="006E1682"/>
    <w:pPr>
      <w:spacing w:after="0"/>
      <w:ind w:left="8100"/>
    </w:pPr>
    <w:rPr>
      <w:szCs w:val="20"/>
    </w:rPr>
  </w:style>
  <w:style w:type="paragraph" w:customStyle="1" w:styleId="ugtext">
    <w:name w:val="ug_text"/>
    <w:basedOn w:val="BodyText"/>
    <w:rsid w:val="006E1682"/>
    <w:pPr>
      <w:spacing w:after="0" w:afterAutospacing="0" w:line="240" w:lineRule="auto"/>
    </w:pPr>
  </w:style>
  <w:style w:type="paragraph" w:customStyle="1" w:styleId="uglist">
    <w:name w:val="ug_list"/>
    <w:basedOn w:val="ListBullet"/>
    <w:rsid w:val="006E1682"/>
    <w:pPr>
      <w:spacing w:after="0" w:afterAutospacing="0" w:line="240" w:lineRule="auto"/>
      <w:ind w:left="720"/>
      <w:contextualSpacing/>
    </w:pPr>
    <w:rPr>
      <w:szCs w:val="20"/>
    </w:rPr>
  </w:style>
  <w:style w:type="paragraph" w:customStyle="1" w:styleId="ugheadnote">
    <w:name w:val="ug_headnote"/>
    <w:basedOn w:val="TableHeadnote"/>
    <w:rsid w:val="006E1682"/>
    <w:pPr>
      <w:spacing w:after="120" w:afterAutospacing="0" w:line="240" w:lineRule="auto"/>
    </w:pPr>
    <w:rPr>
      <w:sz w:val="20"/>
    </w:rPr>
  </w:style>
  <w:style w:type="paragraph" w:customStyle="1" w:styleId="ugno-list">
    <w:name w:val="ug_no-list"/>
    <w:basedOn w:val="ListNumber"/>
    <w:rsid w:val="006E1682"/>
    <w:pPr>
      <w:spacing w:afterAutospacing="0" w:line="240" w:lineRule="auto"/>
      <w:contextualSpacing/>
    </w:pPr>
  </w:style>
  <w:style w:type="paragraph" w:customStyle="1" w:styleId="ForewordBody">
    <w:name w:val="ForewordBody"/>
    <w:basedOn w:val="Normal"/>
    <w:rsid w:val="006E1682"/>
    <w:pPr>
      <w:spacing w:after="0" w:afterAutospacing="0"/>
    </w:pPr>
    <w:rPr>
      <w:rFonts w:ascii="Arial Narrow" w:eastAsiaTheme="minorHAnsi" w:hAnsi="Arial Narrow"/>
    </w:rPr>
  </w:style>
  <w:style w:type="character" w:customStyle="1" w:styleId="BodyText2Char">
    <w:name w:val="Body Text 2 Char"/>
    <w:basedOn w:val="DefaultParagraphFont"/>
    <w:link w:val="BodyText2"/>
    <w:uiPriority w:val="99"/>
    <w:semiHidden/>
    <w:rsid w:val="006E1682"/>
    <w:rPr>
      <w:rFonts w:eastAsiaTheme="minorHAnsi"/>
      <w:sz w:val="24"/>
      <w:szCs w:val="24"/>
    </w:rPr>
  </w:style>
  <w:style w:type="paragraph" w:styleId="BodyText2">
    <w:name w:val="Body Text 2"/>
    <w:basedOn w:val="Normal"/>
    <w:link w:val="BodyText2Char"/>
    <w:uiPriority w:val="99"/>
    <w:semiHidden/>
    <w:rsid w:val="006E1682"/>
    <w:pPr>
      <w:spacing w:after="120" w:afterAutospacing="0"/>
    </w:pPr>
    <w:rPr>
      <w:rFonts w:eastAsiaTheme="minorHAnsi"/>
    </w:rPr>
  </w:style>
  <w:style w:type="character" w:customStyle="1" w:styleId="BodyTextFirstIndentChar">
    <w:name w:val="Body Text First Indent Char"/>
    <w:basedOn w:val="BodyTextChar"/>
    <w:link w:val="BodyTextFirstIndent"/>
    <w:uiPriority w:val="99"/>
    <w:semiHidden/>
    <w:rsid w:val="006E1682"/>
    <w:rPr>
      <w:rFonts w:eastAsiaTheme="minorHAnsi"/>
      <w:szCs w:val="24"/>
    </w:rPr>
  </w:style>
  <w:style w:type="paragraph" w:styleId="BodyTextFirstIndent">
    <w:name w:val="Body Text First Indent"/>
    <w:basedOn w:val="BodyText"/>
    <w:link w:val="BodyTextFirstIndentChar"/>
    <w:uiPriority w:val="99"/>
    <w:semiHidden/>
    <w:rsid w:val="006E1682"/>
    <w:pPr>
      <w:spacing w:after="0" w:afterAutospacing="0"/>
      <w:ind w:firstLine="360"/>
    </w:pPr>
    <w:rPr>
      <w:rFonts w:eastAsiaTheme="minorHAnsi"/>
    </w:rPr>
  </w:style>
  <w:style w:type="character" w:customStyle="1" w:styleId="BodyTextIndentChar">
    <w:name w:val="Body Text Indent Char"/>
    <w:basedOn w:val="DefaultParagraphFont"/>
    <w:link w:val="BodyTextIndent"/>
    <w:uiPriority w:val="99"/>
    <w:semiHidden/>
    <w:rsid w:val="006E1682"/>
    <w:rPr>
      <w:rFonts w:eastAsiaTheme="minorHAnsi"/>
      <w:sz w:val="24"/>
      <w:szCs w:val="24"/>
    </w:rPr>
  </w:style>
  <w:style w:type="paragraph" w:styleId="BodyTextIndent">
    <w:name w:val="Body Text Indent"/>
    <w:basedOn w:val="Normal"/>
    <w:link w:val="BodyTextIndentChar"/>
    <w:uiPriority w:val="99"/>
    <w:semiHidden/>
    <w:rsid w:val="006E1682"/>
    <w:pPr>
      <w:spacing w:after="120" w:afterAutospacing="0"/>
      <w:ind w:left="360"/>
    </w:pPr>
    <w:rPr>
      <w:rFonts w:eastAsiaTheme="minorHAnsi"/>
    </w:rPr>
  </w:style>
  <w:style w:type="character" w:customStyle="1" w:styleId="BodyTextFirstIndent2Char">
    <w:name w:val="Body Text First Indent 2 Char"/>
    <w:basedOn w:val="BodyTextIndentChar"/>
    <w:link w:val="BodyTextFirstIndent2"/>
    <w:uiPriority w:val="99"/>
    <w:semiHidden/>
    <w:rsid w:val="006E1682"/>
  </w:style>
  <w:style w:type="paragraph" w:styleId="BodyTextFirstIndent2">
    <w:name w:val="Body Text First Indent 2"/>
    <w:basedOn w:val="BodyTextIndent"/>
    <w:link w:val="BodyTextFirstIndent2Char"/>
    <w:uiPriority w:val="99"/>
    <w:semiHidden/>
    <w:rsid w:val="006E1682"/>
    <w:pPr>
      <w:spacing w:after="0"/>
      <w:ind w:firstLine="360"/>
    </w:pPr>
  </w:style>
  <w:style w:type="character" w:customStyle="1" w:styleId="BodyTextIndent2Char">
    <w:name w:val="Body Text Indent 2 Char"/>
    <w:basedOn w:val="DefaultParagraphFont"/>
    <w:link w:val="BodyTextIndent2"/>
    <w:uiPriority w:val="99"/>
    <w:semiHidden/>
    <w:rsid w:val="006E1682"/>
    <w:rPr>
      <w:rFonts w:eastAsiaTheme="minorHAnsi"/>
      <w:sz w:val="24"/>
      <w:szCs w:val="24"/>
    </w:rPr>
  </w:style>
  <w:style w:type="paragraph" w:styleId="BodyTextIndent2">
    <w:name w:val="Body Text Indent 2"/>
    <w:basedOn w:val="Normal"/>
    <w:link w:val="BodyTextIndent2Char"/>
    <w:uiPriority w:val="99"/>
    <w:semiHidden/>
    <w:rsid w:val="006E1682"/>
    <w:pPr>
      <w:spacing w:after="120" w:afterAutospacing="0"/>
      <w:ind w:left="360"/>
    </w:pPr>
    <w:rPr>
      <w:rFonts w:eastAsiaTheme="minorHAnsi"/>
    </w:rPr>
  </w:style>
  <w:style w:type="character" w:customStyle="1" w:styleId="BodyTextIndent3Char">
    <w:name w:val="Body Text Indent 3 Char"/>
    <w:basedOn w:val="DefaultParagraphFont"/>
    <w:link w:val="BodyTextIndent3"/>
    <w:uiPriority w:val="99"/>
    <w:semiHidden/>
    <w:rsid w:val="006E1682"/>
    <w:rPr>
      <w:rFonts w:eastAsiaTheme="minorHAnsi"/>
      <w:sz w:val="16"/>
      <w:szCs w:val="16"/>
    </w:rPr>
  </w:style>
  <w:style w:type="paragraph" w:styleId="BodyTextIndent3">
    <w:name w:val="Body Text Indent 3"/>
    <w:basedOn w:val="Normal"/>
    <w:link w:val="BodyTextIndent3Char"/>
    <w:uiPriority w:val="99"/>
    <w:semiHidden/>
    <w:rsid w:val="006E1682"/>
    <w:pPr>
      <w:spacing w:after="120" w:afterAutospacing="0"/>
      <w:ind w:left="360"/>
    </w:pPr>
    <w:rPr>
      <w:rFonts w:eastAsiaTheme="minorHAnsi"/>
      <w:sz w:val="16"/>
      <w:szCs w:val="16"/>
    </w:rPr>
  </w:style>
  <w:style w:type="character" w:customStyle="1" w:styleId="ClosingChar">
    <w:name w:val="Closing Char"/>
    <w:basedOn w:val="DefaultParagraphFont"/>
    <w:link w:val="Closing"/>
    <w:uiPriority w:val="99"/>
    <w:semiHidden/>
    <w:rsid w:val="006E1682"/>
    <w:rPr>
      <w:rFonts w:eastAsiaTheme="minorHAnsi"/>
      <w:sz w:val="24"/>
      <w:szCs w:val="24"/>
    </w:rPr>
  </w:style>
  <w:style w:type="paragraph" w:styleId="Closing">
    <w:name w:val="Closing"/>
    <w:basedOn w:val="Normal"/>
    <w:link w:val="ClosingChar"/>
    <w:uiPriority w:val="99"/>
    <w:semiHidden/>
    <w:rsid w:val="006E1682"/>
    <w:pPr>
      <w:spacing w:after="0" w:afterAutospacing="0" w:line="240" w:lineRule="auto"/>
      <w:ind w:left="4320"/>
    </w:pPr>
    <w:rPr>
      <w:rFonts w:eastAsiaTheme="minorHAnsi"/>
    </w:rPr>
  </w:style>
  <w:style w:type="character" w:customStyle="1" w:styleId="DateChar">
    <w:name w:val="Date Char"/>
    <w:basedOn w:val="DefaultParagraphFont"/>
    <w:link w:val="Date"/>
    <w:uiPriority w:val="99"/>
    <w:semiHidden/>
    <w:rsid w:val="006E1682"/>
    <w:rPr>
      <w:rFonts w:eastAsiaTheme="minorHAnsi"/>
      <w:sz w:val="24"/>
      <w:szCs w:val="24"/>
    </w:rPr>
  </w:style>
  <w:style w:type="paragraph" w:styleId="Date">
    <w:name w:val="Date"/>
    <w:basedOn w:val="Normal"/>
    <w:next w:val="Normal"/>
    <w:link w:val="DateChar"/>
    <w:uiPriority w:val="99"/>
    <w:semiHidden/>
    <w:rsid w:val="006E1682"/>
    <w:pPr>
      <w:spacing w:after="0" w:afterAutospacing="0"/>
    </w:pPr>
    <w:rPr>
      <w:rFonts w:eastAsiaTheme="minorHAnsi"/>
    </w:rPr>
  </w:style>
  <w:style w:type="character" w:customStyle="1" w:styleId="E-mailSignatureChar">
    <w:name w:val="E-mail Signature Char"/>
    <w:basedOn w:val="DefaultParagraphFont"/>
    <w:link w:val="E-mailSignature"/>
    <w:uiPriority w:val="99"/>
    <w:semiHidden/>
    <w:rsid w:val="006E1682"/>
    <w:rPr>
      <w:rFonts w:eastAsiaTheme="minorHAnsi"/>
      <w:sz w:val="24"/>
      <w:szCs w:val="24"/>
    </w:rPr>
  </w:style>
  <w:style w:type="paragraph" w:styleId="E-mailSignature">
    <w:name w:val="E-mail Signature"/>
    <w:basedOn w:val="Normal"/>
    <w:link w:val="E-mailSignatureChar"/>
    <w:uiPriority w:val="99"/>
    <w:semiHidden/>
    <w:rsid w:val="006E1682"/>
    <w:pPr>
      <w:spacing w:after="0" w:afterAutospacing="0" w:line="240" w:lineRule="auto"/>
    </w:pPr>
    <w:rPr>
      <w:rFonts w:eastAsiaTheme="minorHAnsi"/>
    </w:rPr>
  </w:style>
  <w:style w:type="paragraph" w:styleId="EnvelopeAddress">
    <w:name w:val="envelope address"/>
    <w:basedOn w:val="Normal"/>
    <w:uiPriority w:val="99"/>
    <w:semiHidden/>
    <w:rsid w:val="006E1682"/>
    <w:pPr>
      <w:framePr w:w="7920" w:h="1980" w:hRule="exact" w:hSpace="180" w:wrap="auto" w:hAnchor="page" w:xAlign="center" w:yAlign="bottom"/>
      <w:spacing w:after="0" w:afterAutospacing="0" w:line="240" w:lineRule="auto"/>
      <w:ind w:left="2880"/>
    </w:pPr>
    <w:rPr>
      <w:rFonts w:asciiTheme="majorHAnsi" w:eastAsiaTheme="majorEastAsia" w:hAnsiTheme="majorHAnsi" w:cstheme="majorBidi"/>
    </w:rPr>
  </w:style>
  <w:style w:type="paragraph" w:styleId="Index1">
    <w:name w:val="index 1"/>
    <w:basedOn w:val="Normal"/>
    <w:next w:val="Normal"/>
    <w:autoRedefine/>
    <w:uiPriority w:val="99"/>
    <w:semiHidden/>
    <w:rsid w:val="006E1682"/>
    <w:pPr>
      <w:spacing w:after="0" w:afterAutospacing="0" w:line="240" w:lineRule="auto"/>
      <w:ind w:left="240" w:hanging="240"/>
    </w:pPr>
    <w:rPr>
      <w:rFonts w:eastAsiaTheme="minorHAnsi"/>
    </w:rPr>
  </w:style>
  <w:style w:type="paragraph" w:styleId="ListBullet4">
    <w:name w:val="List Bullet 4"/>
    <w:basedOn w:val="Normal"/>
    <w:uiPriority w:val="99"/>
    <w:semiHidden/>
    <w:rsid w:val="006E1682"/>
    <w:pPr>
      <w:numPr>
        <w:numId w:val="9"/>
      </w:numPr>
      <w:spacing w:after="0" w:afterAutospacing="0"/>
      <w:contextualSpacing/>
    </w:pPr>
    <w:rPr>
      <w:rFonts w:eastAsiaTheme="minorHAnsi"/>
    </w:rPr>
  </w:style>
  <w:style w:type="paragraph" w:styleId="ListBullet5">
    <w:name w:val="List Bullet 5"/>
    <w:basedOn w:val="Normal"/>
    <w:uiPriority w:val="99"/>
    <w:semiHidden/>
    <w:rsid w:val="006E1682"/>
    <w:pPr>
      <w:numPr>
        <w:numId w:val="10"/>
      </w:numPr>
      <w:spacing w:after="0" w:afterAutospacing="0"/>
      <w:contextualSpacing/>
    </w:pPr>
    <w:rPr>
      <w:rFonts w:eastAsiaTheme="minorHAnsi"/>
    </w:rPr>
  </w:style>
  <w:style w:type="paragraph" w:styleId="ListNumber4">
    <w:name w:val="List Number 4"/>
    <w:basedOn w:val="Normal"/>
    <w:uiPriority w:val="99"/>
    <w:semiHidden/>
    <w:rsid w:val="006E1682"/>
    <w:pPr>
      <w:numPr>
        <w:numId w:val="11"/>
      </w:numPr>
      <w:spacing w:after="0" w:afterAutospacing="0"/>
      <w:contextualSpacing/>
    </w:pPr>
    <w:rPr>
      <w:rFonts w:eastAsiaTheme="minorHAnsi"/>
    </w:rPr>
  </w:style>
  <w:style w:type="paragraph" w:styleId="ListNumber5">
    <w:name w:val="List Number 5"/>
    <w:basedOn w:val="Normal"/>
    <w:uiPriority w:val="99"/>
    <w:semiHidden/>
    <w:rsid w:val="006E1682"/>
    <w:pPr>
      <w:numPr>
        <w:numId w:val="12"/>
      </w:numPr>
      <w:spacing w:after="0" w:afterAutospacing="0"/>
      <w:contextualSpacing/>
    </w:pPr>
    <w:rPr>
      <w:rFonts w:eastAsiaTheme="minorHAnsi"/>
    </w:rPr>
  </w:style>
  <w:style w:type="character" w:customStyle="1" w:styleId="MacroTextChar">
    <w:name w:val="Macro Text Char"/>
    <w:basedOn w:val="DefaultParagraphFont"/>
    <w:link w:val="MacroText"/>
    <w:uiPriority w:val="99"/>
    <w:semiHidden/>
    <w:rsid w:val="006E1682"/>
    <w:rPr>
      <w:rFonts w:ascii="Consolas" w:eastAsiaTheme="minorHAnsi" w:hAnsi="Consolas" w:cs="Consolas"/>
    </w:rPr>
  </w:style>
  <w:style w:type="paragraph" w:styleId="MacroText">
    <w:name w:val="macro"/>
    <w:link w:val="MacroTextChar"/>
    <w:uiPriority w:val="99"/>
    <w:semiHidden/>
    <w:rsid w:val="006E168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HAnsi" w:hAnsi="Consolas" w:cs="Consolas"/>
    </w:rPr>
  </w:style>
  <w:style w:type="character" w:customStyle="1" w:styleId="MessageHeaderChar">
    <w:name w:val="Message Header Char"/>
    <w:basedOn w:val="DefaultParagraphFont"/>
    <w:link w:val="MessageHeader"/>
    <w:uiPriority w:val="99"/>
    <w:semiHidden/>
    <w:rsid w:val="006E1682"/>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rsid w:val="006E1682"/>
    <w:pPr>
      <w:pBdr>
        <w:top w:val="single" w:sz="6" w:space="1" w:color="auto"/>
        <w:left w:val="single" w:sz="6" w:space="1" w:color="auto"/>
        <w:bottom w:val="single" w:sz="6" w:space="1" w:color="auto"/>
        <w:right w:val="single" w:sz="6" w:space="1" w:color="auto"/>
      </w:pBdr>
      <w:shd w:val="pct20" w:color="auto" w:fill="auto"/>
      <w:spacing w:after="0" w:afterAutospacing="0" w:line="240" w:lineRule="auto"/>
      <w:ind w:left="1080" w:hanging="1080"/>
    </w:pPr>
    <w:rPr>
      <w:rFonts w:asciiTheme="majorHAnsi" w:eastAsiaTheme="majorEastAsia" w:hAnsiTheme="majorHAnsi" w:cstheme="majorBidi"/>
    </w:rPr>
  </w:style>
  <w:style w:type="paragraph" w:styleId="NormalIndent">
    <w:name w:val="Normal Indent"/>
    <w:basedOn w:val="Normal"/>
    <w:uiPriority w:val="99"/>
    <w:semiHidden/>
    <w:rsid w:val="006E1682"/>
    <w:pPr>
      <w:spacing w:after="0" w:afterAutospacing="0"/>
      <w:ind w:left="720"/>
    </w:pPr>
    <w:rPr>
      <w:rFonts w:eastAsiaTheme="minorHAnsi"/>
    </w:rPr>
  </w:style>
  <w:style w:type="character" w:customStyle="1" w:styleId="NoteHeadingChar">
    <w:name w:val="Note Heading Char"/>
    <w:basedOn w:val="DefaultParagraphFont"/>
    <w:link w:val="NoteHeading"/>
    <w:uiPriority w:val="99"/>
    <w:semiHidden/>
    <w:rsid w:val="006E1682"/>
    <w:rPr>
      <w:rFonts w:eastAsiaTheme="minorHAnsi"/>
      <w:sz w:val="24"/>
      <w:szCs w:val="24"/>
    </w:rPr>
  </w:style>
  <w:style w:type="paragraph" w:styleId="NoteHeading">
    <w:name w:val="Note Heading"/>
    <w:basedOn w:val="Normal"/>
    <w:next w:val="Normal"/>
    <w:link w:val="NoteHeadingChar"/>
    <w:uiPriority w:val="99"/>
    <w:semiHidden/>
    <w:rsid w:val="006E1682"/>
    <w:pPr>
      <w:spacing w:after="0" w:afterAutospacing="0" w:line="240" w:lineRule="auto"/>
    </w:pPr>
    <w:rPr>
      <w:rFonts w:eastAsiaTheme="minorHAnsi"/>
    </w:rPr>
  </w:style>
  <w:style w:type="character" w:customStyle="1" w:styleId="SalutationChar">
    <w:name w:val="Salutation Char"/>
    <w:basedOn w:val="DefaultParagraphFont"/>
    <w:link w:val="Salutation"/>
    <w:uiPriority w:val="99"/>
    <w:semiHidden/>
    <w:rsid w:val="006E1682"/>
    <w:rPr>
      <w:rFonts w:eastAsiaTheme="minorHAnsi"/>
      <w:sz w:val="24"/>
      <w:szCs w:val="24"/>
    </w:rPr>
  </w:style>
  <w:style w:type="paragraph" w:styleId="Salutation">
    <w:name w:val="Salutation"/>
    <w:basedOn w:val="Normal"/>
    <w:next w:val="Normal"/>
    <w:link w:val="SalutationChar"/>
    <w:uiPriority w:val="99"/>
    <w:semiHidden/>
    <w:rsid w:val="006E1682"/>
    <w:pPr>
      <w:spacing w:after="0" w:afterAutospacing="0"/>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ubs.usgs.gov/tm/tm7c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7757F-B6A9-4B4D-9DFC-9EA7926B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629</TotalTime>
  <Pages>44</Pages>
  <Words>3552</Words>
  <Characters>20248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23753</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55</cp:revision>
  <cp:lastPrinted>2014-08-27T01:22:00Z</cp:lastPrinted>
  <dcterms:created xsi:type="dcterms:W3CDTF">2013-03-17T21:35:00Z</dcterms:created>
  <dcterms:modified xsi:type="dcterms:W3CDTF">2015-06-22T01:37:00Z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