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84" w:rsidRDefault="00453384" w:rsidP="00BB0B92">
      <w:pPr>
        <w:rPr>
          <w:rtl/>
        </w:rPr>
      </w:pPr>
      <w:r>
        <w:rPr>
          <w:rFonts w:hint="cs"/>
          <w:rtl/>
        </w:rPr>
        <w:t>בעזרת השם יתברך</w:t>
      </w:r>
    </w:p>
    <w:p w:rsidR="00453384" w:rsidRDefault="00E13DE2" w:rsidP="00453384">
      <w:pPr>
        <w:jc w:val="center"/>
        <w:rPr>
          <w:b/>
          <w:bCs/>
          <w:rtl/>
        </w:rPr>
      </w:pPr>
      <w:r>
        <w:rPr>
          <w:rFonts w:hint="cs"/>
          <w:b/>
          <w:bCs/>
          <w:rtl/>
        </w:rPr>
        <w:t xml:space="preserve">סדר הכשרת </w:t>
      </w:r>
      <w:r w:rsidR="00453384">
        <w:rPr>
          <w:rFonts w:hint="cs"/>
          <w:b/>
          <w:bCs/>
          <w:rtl/>
        </w:rPr>
        <w:t xml:space="preserve">כבד </w:t>
      </w:r>
      <w:r>
        <w:rPr>
          <w:rFonts w:hint="cs"/>
          <w:b/>
          <w:bCs/>
          <w:rtl/>
        </w:rPr>
        <w:t xml:space="preserve">עוף </w:t>
      </w:r>
      <w:r w:rsidR="00453384">
        <w:rPr>
          <w:rFonts w:hint="cs"/>
          <w:b/>
          <w:bCs/>
          <w:rtl/>
        </w:rPr>
        <w:t>לכתחילה</w:t>
      </w:r>
      <w:r w:rsidR="00D16989">
        <w:rPr>
          <w:rStyle w:val="a5"/>
          <w:b/>
          <w:bCs/>
          <w:rtl/>
        </w:rPr>
        <w:footnoteReference w:id="1"/>
      </w:r>
      <w:r w:rsidR="00453384">
        <w:rPr>
          <w:rFonts w:hint="cs"/>
          <w:b/>
          <w:bCs/>
          <w:rtl/>
        </w:rPr>
        <w:t xml:space="preserve"> </w:t>
      </w:r>
    </w:p>
    <w:p w:rsidR="00453384" w:rsidRDefault="00453384" w:rsidP="00453384">
      <w:pPr>
        <w:jc w:val="center"/>
        <w:rPr>
          <w:b/>
          <w:bCs/>
          <w:rtl/>
        </w:rPr>
      </w:pPr>
      <w:r>
        <w:rPr>
          <w:rFonts w:hint="cs"/>
          <w:b/>
          <w:bCs/>
          <w:rtl/>
        </w:rPr>
        <w:t>לבני ספרד ולבני אשכנז</w:t>
      </w:r>
    </w:p>
    <w:p w:rsidR="00453384" w:rsidRPr="00BB0B92" w:rsidRDefault="00453384" w:rsidP="00453384">
      <w:pPr>
        <w:rPr>
          <w:b/>
          <w:bCs/>
          <w:sz w:val="18"/>
          <w:szCs w:val="18"/>
          <w:rtl/>
        </w:rPr>
      </w:pPr>
      <w:r w:rsidRPr="00BB0B92">
        <w:rPr>
          <w:rFonts w:hint="cs"/>
          <w:b/>
          <w:bCs/>
          <w:sz w:val="18"/>
          <w:szCs w:val="18"/>
          <w:rtl/>
        </w:rPr>
        <w:t>הכשרת הכבד לאכילתו כצלוי ללא בישול אח"כ</w:t>
      </w:r>
    </w:p>
    <w:p w:rsidR="00453384" w:rsidRPr="00BB0B92" w:rsidRDefault="00453384" w:rsidP="00453384">
      <w:pPr>
        <w:rPr>
          <w:b/>
          <w:bCs/>
          <w:sz w:val="18"/>
          <w:szCs w:val="18"/>
          <w:rtl/>
        </w:rPr>
      </w:pPr>
      <w:r w:rsidRPr="00BB0B92">
        <w:rPr>
          <w:rFonts w:hint="cs"/>
          <w:b/>
          <w:bCs/>
          <w:sz w:val="18"/>
          <w:szCs w:val="18"/>
          <w:rtl/>
        </w:rPr>
        <w:t>לבני ספרד:</w:t>
      </w:r>
    </w:p>
    <w:p w:rsidR="00453384" w:rsidRPr="00BB0B92" w:rsidRDefault="00453384" w:rsidP="00453384">
      <w:pPr>
        <w:rPr>
          <w:sz w:val="18"/>
          <w:szCs w:val="18"/>
          <w:rtl/>
        </w:rPr>
      </w:pPr>
      <w:r w:rsidRPr="00BB0B92">
        <w:rPr>
          <w:rFonts w:hint="cs"/>
          <w:sz w:val="18"/>
          <w:szCs w:val="18"/>
          <w:rtl/>
        </w:rPr>
        <w:t>א, חיתוך לכל אורך הכבד או לכל רחבו</w:t>
      </w:r>
      <w:r w:rsidRPr="00BB0B92">
        <w:rPr>
          <w:rStyle w:val="a5"/>
          <w:sz w:val="18"/>
          <w:szCs w:val="18"/>
          <w:rtl/>
        </w:rPr>
        <w:footnoteReference w:id="2"/>
      </w:r>
      <w:r w:rsidRPr="00BB0B92">
        <w:rPr>
          <w:rFonts w:hint="cs"/>
          <w:sz w:val="18"/>
          <w:szCs w:val="18"/>
          <w:rtl/>
        </w:rPr>
        <w:t>.</w:t>
      </w:r>
    </w:p>
    <w:p w:rsidR="00453384" w:rsidRPr="00BB0B92" w:rsidRDefault="00453384" w:rsidP="00453384">
      <w:pPr>
        <w:rPr>
          <w:sz w:val="18"/>
          <w:szCs w:val="18"/>
          <w:rtl/>
        </w:rPr>
      </w:pPr>
      <w:r w:rsidRPr="00BB0B92">
        <w:rPr>
          <w:rFonts w:hint="cs"/>
          <w:sz w:val="18"/>
          <w:szCs w:val="18"/>
          <w:rtl/>
        </w:rPr>
        <w:t>ב, צלייה</w:t>
      </w:r>
      <w:r w:rsidR="009E1EC2" w:rsidRPr="00BB0B92">
        <w:rPr>
          <w:rStyle w:val="a5"/>
          <w:sz w:val="18"/>
          <w:szCs w:val="18"/>
          <w:rtl/>
        </w:rPr>
        <w:footnoteReference w:id="3"/>
      </w:r>
      <w:r w:rsidRPr="00BB0B92">
        <w:rPr>
          <w:rFonts w:hint="cs"/>
          <w:sz w:val="18"/>
          <w:szCs w:val="18"/>
          <w:rtl/>
        </w:rPr>
        <w:t>.</w:t>
      </w:r>
    </w:p>
    <w:p w:rsidR="00453384" w:rsidRPr="00BB0B92" w:rsidRDefault="00453384" w:rsidP="00453384">
      <w:pPr>
        <w:rPr>
          <w:sz w:val="18"/>
          <w:szCs w:val="18"/>
          <w:rtl/>
        </w:rPr>
      </w:pPr>
    </w:p>
    <w:p w:rsidR="00453384" w:rsidRPr="00BB0B92" w:rsidRDefault="00453384" w:rsidP="00453384">
      <w:pPr>
        <w:rPr>
          <w:b/>
          <w:bCs/>
          <w:sz w:val="18"/>
          <w:szCs w:val="18"/>
          <w:rtl/>
        </w:rPr>
      </w:pPr>
      <w:r w:rsidRPr="00BB0B92">
        <w:rPr>
          <w:rFonts w:hint="cs"/>
          <w:b/>
          <w:bCs/>
          <w:sz w:val="18"/>
          <w:szCs w:val="18"/>
          <w:rtl/>
        </w:rPr>
        <w:t>לבני אשכנז:</w:t>
      </w:r>
    </w:p>
    <w:p w:rsidR="00453384" w:rsidRPr="00BB0B92" w:rsidRDefault="00453384" w:rsidP="00453384">
      <w:pPr>
        <w:rPr>
          <w:sz w:val="18"/>
          <w:szCs w:val="18"/>
          <w:rtl/>
        </w:rPr>
      </w:pPr>
      <w:r w:rsidRPr="00BB0B92">
        <w:rPr>
          <w:rFonts w:hint="cs"/>
          <w:sz w:val="18"/>
          <w:szCs w:val="18"/>
          <w:rtl/>
        </w:rPr>
        <w:t>א, הדחה</w:t>
      </w:r>
      <w:r w:rsidR="00E13DE2" w:rsidRPr="00BB0B92">
        <w:rPr>
          <w:rStyle w:val="a5"/>
          <w:sz w:val="18"/>
          <w:szCs w:val="18"/>
          <w:rtl/>
        </w:rPr>
        <w:footnoteReference w:id="4"/>
      </w:r>
      <w:r w:rsidRPr="00BB0B92">
        <w:rPr>
          <w:rFonts w:hint="cs"/>
          <w:sz w:val="18"/>
          <w:szCs w:val="18"/>
          <w:rtl/>
        </w:rPr>
        <w:t>.</w:t>
      </w:r>
    </w:p>
    <w:p w:rsidR="00995DF1" w:rsidRPr="00BB0B92" w:rsidRDefault="00995DF1" w:rsidP="0095282B">
      <w:pPr>
        <w:rPr>
          <w:sz w:val="18"/>
          <w:szCs w:val="18"/>
          <w:rtl/>
        </w:rPr>
      </w:pPr>
      <w:r w:rsidRPr="00BB0B92">
        <w:rPr>
          <w:rFonts w:hint="cs"/>
          <w:sz w:val="18"/>
          <w:szCs w:val="18"/>
          <w:rtl/>
        </w:rPr>
        <w:t>ב, מליחה קצת</w:t>
      </w:r>
      <w:r w:rsidR="0095282B" w:rsidRPr="00BB0B92">
        <w:rPr>
          <w:rStyle w:val="a5"/>
          <w:sz w:val="18"/>
          <w:szCs w:val="18"/>
          <w:rtl/>
        </w:rPr>
        <w:footnoteReference w:id="5"/>
      </w:r>
      <w:r w:rsidR="009E1EC2" w:rsidRPr="00BB0B92">
        <w:rPr>
          <w:rFonts w:hint="cs"/>
          <w:sz w:val="18"/>
          <w:szCs w:val="18"/>
          <w:rtl/>
        </w:rPr>
        <w:t xml:space="preserve">, </w:t>
      </w:r>
      <w:r w:rsidRPr="00BB0B92">
        <w:rPr>
          <w:rFonts w:hint="cs"/>
          <w:sz w:val="18"/>
          <w:szCs w:val="18"/>
          <w:rtl/>
        </w:rPr>
        <w:t>מיד לפני הצלייה</w:t>
      </w:r>
      <w:r w:rsidR="0095282B" w:rsidRPr="00BB0B92">
        <w:rPr>
          <w:rStyle w:val="a5"/>
          <w:sz w:val="18"/>
          <w:szCs w:val="18"/>
          <w:rtl/>
        </w:rPr>
        <w:footnoteReference w:id="6"/>
      </w:r>
      <w:r w:rsidRPr="00BB0B92">
        <w:rPr>
          <w:rFonts w:hint="cs"/>
          <w:sz w:val="18"/>
          <w:szCs w:val="18"/>
          <w:rtl/>
        </w:rPr>
        <w:t>.</w:t>
      </w:r>
    </w:p>
    <w:p w:rsidR="00453384" w:rsidRPr="00BB0B92" w:rsidRDefault="00995DF1" w:rsidP="00453384">
      <w:pPr>
        <w:rPr>
          <w:sz w:val="18"/>
          <w:szCs w:val="18"/>
          <w:rtl/>
        </w:rPr>
      </w:pPr>
      <w:r w:rsidRPr="00BB0B92">
        <w:rPr>
          <w:rFonts w:hint="cs"/>
          <w:sz w:val="18"/>
          <w:szCs w:val="18"/>
          <w:rtl/>
        </w:rPr>
        <w:t>ג</w:t>
      </w:r>
      <w:r w:rsidR="00453384" w:rsidRPr="00BB0B92">
        <w:rPr>
          <w:rFonts w:hint="cs"/>
          <w:sz w:val="18"/>
          <w:szCs w:val="18"/>
          <w:rtl/>
        </w:rPr>
        <w:t>, צלייה.</w:t>
      </w:r>
    </w:p>
    <w:p w:rsidR="00453384" w:rsidRPr="00BB0B92" w:rsidRDefault="00995DF1" w:rsidP="00453384">
      <w:pPr>
        <w:rPr>
          <w:sz w:val="18"/>
          <w:szCs w:val="18"/>
          <w:rtl/>
        </w:rPr>
      </w:pPr>
      <w:r w:rsidRPr="00BB0B92">
        <w:rPr>
          <w:rFonts w:hint="cs"/>
          <w:sz w:val="18"/>
          <w:szCs w:val="18"/>
          <w:rtl/>
        </w:rPr>
        <w:t>ד</w:t>
      </w:r>
      <w:r w:rsidR="00453384" w:rsidRPr="00BB0B92">
        <w:rPr>
          <w:rFonts w:hint="cs"/>
          <w:sz w:val="18"/>
          <w:szCs w:val="18"/>
          <w:rtl/>
        </w:rPr>
        <w:t>, הדחה</w:t>
      </w:r>
      <w:r w:rsidR="008975D9" w:rsidRPr="00BB0B92">
        <w:rPr>
          <w:rStyle w:val="a5"/>
          <w:sz w:val="18"/>
          <w:szCs w:val="18"/>
          <w:rtl/>
        </w:rPr>
        <w:footnoteReference w:id="7"/>
      </w:r>
      <w:r w:rsidR="00453384" w:rsidRPr="00BB0B92">
        <w:rPr>
          <w:rFonts w:hint="cs"/>
          <w:sz w:val="18"/>
          <w:szCs w:val="18"/>
          <w:rtl/>
        </w:rPr>
        <w:t xml:space="preserve"> ג"פ</w:t>
      </w:r>
      <w:r w:rsidR="00215C04">
        <w:rPr>
          <w:rStyle w:val="a5"/>
          <w:sz w:val="18"/>
          <w:szCs w:val="18"/>
          <w:rtl/>
        </w:rPr>
        <w:footnoteReference w:id="8"/>
      </w:r>
      <w:r w:rsidR="00453384" w:rsidRPr="00BB0B92">
        <w:rPr>
          <w:rFonts w:hint="cs"/>
          <w:sz w:val="18"/>
          <w:szCs w:val="18"/>
          <w:rtl/>
        </w:rPr>
        <w:t>.</w:t>
      </w:r>
    </w:p>
    <w:p w:rsidR="008975D9" w:rsidRPr="00BB0B92" w:rsidRDefault="008975D9" w:rsidP="00453384">
      <w:pPr>
        <w:rPr>
          <w:sz w:val="18"/>
          <w:szCs w:val="18"/>
          <w:rtl/>
        </w:rPr>
      </w:pPr>
    </w:p>
    <w:p w:rsidR="008975D9" w:rsidRPr="00BB0B92" w:rsidRDefault="008975D9" w:rsidP="00453384">
      <w:pPr>
        <w:rPr>
          <w:b/>
          <w:bCs/>
          <w:sz w:val="18"/>
          <w:szCs w:val="18"/>
          <w:rtl/>
        </w:rPr>
      </w:pPr>
      <w:r w:rsidRPr="00BB0B92">
        <w:rPr>
          <w:rFonts w:hint="cs"/>
          <w:b/>
          <w:bCs/>
          <w:sz w:val="18"/>
          <w:szCs w:val="18"/>
          <w:rtl/>
        </w:rPr>
        <w:t>הכשרת הכבד לבישולו לאחר הצלייה</w:t>
      </w:r>
    </w:p>
    <w:p w:rsidR="008975D9" w:rsidRPr="00BB0B92" w:rsidRDefault="008975D9" w:rsidP="00453384">
      <w:pPr>
        <w:rPr>
          <w:b/>
          <w:bCs/>
          <w:sz w:val="18"/>
          <w:szCs w:val="18"/>
          <w:rtl/>
        </w:rPr>
      </w:pPr>
      <w:r w:rsidRPr="00BB0B92">
        <w:rPr>
          <w:rFonts w:hint="cs"/>
          <w:b/>
          <w:bCs/>
          <w:sz w:val="18"/>
          <w:szCs w:val="18"/>
          <w:rtl/>
        </w:rPr>
        <w:t>לבני ספרד:</w:t>
      </w:r>
    </w:p>
    <w:p w:rsidR="008975D9" w:rsidRPr="00BB0B92" w:rsidRDefault="008975D9" w:rsidP="00453384">
      <w:pPr>
        <w:rPr>
          <w:sz w:val="18"/>
          <w:szCs w:val="18"/>
          <w:rtl/>
        </w:rPr>
      </w:pPr>
      <w:r w:rsidRPr="00BB0B92">
        <w:rPr>
          <w:rFonts w:hint="cs"/>
          <w:sz w:val="18"/>
          <w:szCs w:val="18"/>
          <w:rtl/>
        </w:rPr>
        <w:t>א, חיתוך שתי וערב</w:t>
      </w:r>
      <w:r w:rsidR="009E1EC2" w:rsidRPr="00BB0B92">
        <w:rPr>
          <w:rStyle w:val="a5"/>
          <w:sz w:val="18"/>
          <w:szCs w:val="18"/>
          <w:rtl/>
        </w:rPr>
        <w:footnoteReference w:id="9"/>
      </w:r>
      <w:r w:rsidRPr="00BB0B92">
        <w:rPr>
          <w:rFonts w:hint="cs"/>
          <w:sz w:val="18"/>
          <w:szCs w:val="18"/>
          <w:rtl/>
        </w:rPr>
        <w:t xml:space="preserve"> לכל חלק מהכבד בפני עצמו</w:t>
      </w:r>
      <w:r w:rsidR="009E1EC2" w:rsidRPr="00BB0B92">
        <w:rPr>
          <w:rStyle w:val="a5"/>
          <w:sz w:val="18"/>
          <w:szCs w:val="18"/>
          <w:rtl/>
        </w:rPr>
        <w:footnoteReference w:id="10"/>
      </w:r>
      <w:r w:rsidR="009E1EC2" w:rsidRPr="00BB0B92">
        <w:rPr>
          <w:rFonts w:hint="cs"/>
          <w:sz w:val="18"/>
          <w:szCs w:val="18"/>
          <w:rtl/>
        </w:rPr>
        <w:t>.</w:t>
      </w:r>
    </w:p>
    <w:p w:rsidR="009E1EC2" w:rsidRPr="00BB0B92" w:rsidRDefault="009E1EC2" w:rsidP="009E1EC2">
      <w:pPr>
        <w:rPr>
          <w:sz w:val="18"/>
          <w:szCs w:val="18"/>
          <w:rtl/>
        </w:rPr>
      </w:pPr>
      <w:r w:rsidRPr="00BB0B92">
        <w:rPr>
          <w:rFonts w:hint="cs"/>
          <w:sz w:val="18"/>
          <w:szCs w:val="18"/>
          <w:rtl/>
        </w:rPr>
        <w:t>ב, צלייה תוך כדי הנחת החיתוך למטה</w:t>
      </w:r>
      <w:r w:rsidRPr="00BB0B92">
        <w:rPr>
          <w:rStyle w:val="a5"/>
          <w:sz w:val="18"/>
          <w:szCs w:val="18"/>
          <w:rtl/>
        </w:rPr>
        <w:footnoteReference w:id="11"/>
      </w:r>
      <w:r w:rsidR="00CA3992" w:rsidRPr="00BB0B92">
        <w:rPr>
          <w:rFonts w:hint="cs"/>
          <w:sz w:val="18"/>
          <w:szCs w:val="18"/>
          <w:rtl/>
        </w:rPr>
        <w:t xml:space="preserve">, ושיעור הצלייה הוא </w:t>
      </w:r>
      <w:r w:rsidR="0095282B" w:rsidRPr="00BB0B92">
        <w:rPr>
          <w:rFonts w:hint="cs"/>
          <w:sz w:val="18"/>
          <w:szCs w:val="18"/>
          <w:rtl/>
        </w:rPr>
        <w:t>כדי שיהיה הבשר ראוי לאכילה על ידי הדחק (חצי צלייתו)</w:t>
      </w:r>
      <w:r w:rsidRPr="00BB0B92">
        <w:rPr>
          <w:rFonts w:hint="cs"/>
          <w:sz w:val="18"/>
          <w:szCs w:val="18"/>
          <w:rtl/>
        </w:rPr>
        <w:t>.</w:t>
      </w:r>
    </w:p>
    <w:p w:rsidR="0095282B" w:rsidRPr="00BB0B92" w:rsidRDefault="0095282B" w:rsidP="009E1EC2">
      <w:pPr>
        <w:rPr>
          <w:sz w:val="18"/>
          <w:szCs w:val="18"/>
          <w:rtl/>
        </w:rPr>
      </w:pPr>
    </w:p>
    <w:p w:rsidR="0095282B" w:rsidRPr="00BB0B92" w:rsidRDefault="0095282B" w:rsidP="009E1EC2">
      <w:pPr>
        <w:rPr>
          <w:b/>
          <w:bCs/>
          <w:sz w:val="18"/>
          <w:szCs w:val="18"/>
          <w:rtl/>
        </w:rPr>
      </w:pPr>
      <w:r w:rsidRPr="00BB0B92">
        <w:rPr>
          <w:rFonts w:hint="cs"/>
          <w:b/>
          <w:bCs/>
          <w:sz w:val="18"/>
          <w:szCs w:val="18"/>
          <w:rtl/>
        </w:rPr>
        <w:t>לבני אשכנז:</w:t>
      </w:r>
    </w:p>
    <w:p w:rsidR="0095282B" w:rsidRPr="00BB0B92" w:rsidRDefault="0095282B" w:rsidP="009E1EC2">
      <w:pPr>
        <w:rPr>
          <w:sz w:val="18"/>
          <w:szCs w:val="18"/>
          <w:rtl/>
        </w:rPr>
      </w:pPr>
      <w:r w:rsidRPr="00BB0B92">
        <w:rPr>
          <w:rFonts w:hint="cs"/>
          <w:sz w:val="18"/>
          <w:szCs w:val="18"/>
          <w:rtl/>
        </w:rPr>
        <w:t>א, הסרת המרה עם חתיכה מבשר הכבד</w:t>
      </w:r>
      <w:r w:rsidR="00BB0B92">
        <w:rPr>
          <w:rStyle w:val="a5"/>
          <w:sz w:val="18"/>
          <w:szCs w:val="18"/>
          <w:rtl/>
        </w:rPr>
        <w:footnoteReference w:id="12"/>
      </w:r>
      <w:r w:rsidRPr="00BB0B92">
        <w:rPr>
          <w:rFonts w:hint="cs"/>
          <w:sz w:val="18"/>
          <w:szCs w:val="18"/>
          <w:rtl/>
        </w:rPr>
        <w:t>.</w:t>
      </w:r>
    </w:p>
    <w:p w:rsidR="0095282B" w:rsidRPr="00BB0B92" w:rsidRDefault="0095282B" w:rsidP="009E1EC2">
      <w:pPr>
        <w:rPr>
          <w:sz w:val="18"/>
          <w:szCs w:val="18"/>
          <w:rtl/>
        </w:rPr>
      </w:pPr>
      <w:r w:rsidRPr="00BB0B92">
        <w:rPr>
          <w:rFonts w:hint="cs"/>
          <w:sz w:val="18"/>
          <w:szCs w:val="18"/>
          <w:rtl/>
        </w:rPr>
        <w:t>ב, הדחה.</w:t>
      </w:r>
    </w:p>
    <w:p w:rsidR="0095282B" w:rsidRPr="00BB0B92" w:rsidRDefault="0095282B" w:rsidP="009E1EC2">
      <w:pPr>
        <w:rPr>
          <w:sz w:val="18"/>
          <w:szCs w:val="18"/>
          <w:rtl/>
        </w:rPr>
      </w:pPr>
      <w:r w:rsidRPr="00BB0B92">
        <w:rPr>
          <w:rFonts w:hint="cs"/>
          <w:sz w:val="18"/>
          <w:szCs w:val="18"/>
          <w:rtl/>
        </w:rPr>
        <w:t>ג, צלייה כשיעור הנ"ל.</w:t>
      </w:r>
    </w:p>
    <w:p w:rsidR="0095282B" w:rsidRDefault="0095282B" w:rsidP="009E1EC2">
      <w:pPr>
        <w:rPr>
          <w:sz w:val="18"/>
          <w:szCs w:val="18"/>
          <w:rtl/>
        </w:rPr>
      </w:pPr>
      <w:r w:rsidRPr="00BB0B92">
        <w:rPr>
          <w:rFonts w:hint="cs"/>
          <w:sz w:val="18"/>
          <w:szCs w:val="18"/>
          <w:rtl/>
        </w:rPr>
        <w:t>ד, הדחה ג"פ.</w:t>
      </w:r>
    </w:p>
    <w:p w:rsidR="008902D4" w:rsidRDefault="008902D4" w:rsidP="009E1EC2">
      <w:pPr>
        <w:rPr>
          <w:sz w:val="18"/>
          <w:szCs w:val="18"/>
          <w:rtl/>
        </w:rPr>
      </w:pPr>
    </w:p>
    <w:p w:rsidR="00D00F98" w:rsidRDefault="00D00F98" w:rsidP="009E1EC2">
      <w:pPr>
        <w:rPr>
          <w:sz w:val="18"/>
          <w:szCs w:val="18"/>
          <w:rtl/>
        </w:rPr>
      </w:pPr>
    </w:p>
    <w:p w:rsidR="008902D4" w:rsidRDefault="008902D4" w:rsidP="009E1EC2">
      <w:pPr>
        <w:rPr>
          <w:sz w:val="18"/>
          <w:szCs w:val="18"/>
          <w:rtl/>
        </w:rPr>
      </w:pPr>
      <w:r>
        <w:rPr>
          <w:rFonts w:hint="cs"/>
          <w:sz w:val="18"/>
          <w:szCs w:val="18"/>
          <w:rtl/>
        </w:rPr>
        <w:lastRenderedPageBreak/>
        <w:t>בעזרת השם יתברך</w:t>
      </w:r>
    </w:p>
    <w:p w:rsidR="008902D4" w:rsidRDefault="008902D4" w:rsidP="009E1EC2">
      <w:pPr>
        <w:rPr>
          <w:b/>
          <w:bCs/>
          <w:sz w:val="18"/>
          <w:szCs w:val="18"/>
          <w:rtl/>
        </w:rPr>
      </w:pPr>
      <w:r>
        <w:rPr>
          <w:rFonts w:hint="cs"/>
          <w:b/>
          <w:bCs/>
          <w:sz w:val="18"/>
          <w:szCs w:val="18"/>
          <w:rtl/>
        </w:rPr>
        <w:t>ציונים ונידונים לסימן ע"ג</w:t>
      </w:r>
    </w:p>
    <w:p w:rsidR="008902D4" w:rsidRDefault="008902D4" w:rsidP="009E1EC2">
      <w:pPr>
        <w:rPr>
          <w:b/>
          <w:bCs/>
          <w:sz w:val="18"/>
          <w:szCs w:val="18"/>
          <w:rtl/>
        </w:rPr>
      </w:pPr>
      <w:r>
        <w:rPr>
          <w:rFonts w:hint="cs"/>
          <w:b/>
          <w:bCs/>
          <w:sz w:val="18"/>
          <w:szCs w:val="18"/>
          <w:rtl/>
        </w:rPr>
        <w:t xml:space="preserve">א, </w:t>
      </w:r>
      <w:r w:rsidR="00AE7E1C">
        <w:rPr>
          <w:rFonts w:hint="cs"/>
          <w:b/>
          <w:bCs/>
          <w:sz w:val="18"/>
          <w:szCs w:val="18"/>
          <w:rtl/>
        </w:rPr>
        <w:t>"</w:t>
      </w:r>
      <w:r>
        <w:rPr>
          <w:rFonts w:hint="cs"/>
          <w:b/>
          <w:bCs/>
          <w:sz w:val="18"/>
          <w:szCs w:val="18"/>
          <w:rtl/>
        </w:rPr>
        <w:t>הכבד אינו נאסר</w:t>
      </w:r>
      <w:r w:rsidR="00AE7E1C">
        <w:rPr>
          <w:rFonts w:hint="cs"/>
          <w:b/>
          <w:bCs/>
          <w:sz w:val="18"/>
          <w:szCs w:val="18"/>
          <w:rtl/>
        </w:rPr>
        <w:t>"</w:t>
      </w:r>
      <w:r>
        <w:rPr>
          <w:rFonts w:hint="cs"/>
          <w:b/>
          <w:bCs/>
          <w:sz w:val="18"/>
          <w:szCs w:val="18"/>
          <w:rtl/>
        </w:rPr>
        <w:t xml:space="preserve"> </w:t>
      </w:r>
      <w:r>
        <w:rPr>
          <w:b/>
          <w:bCs/>
          <w:sz w:val="18"/>
          <w:szCs w:val="18"/>
          <w:rtl/>
        </w:rPr>
        <w:t>–</w:t>
      </w:r>
      <w:r>
        <w:rPr>
          <w:rFonts w:hint="cs"/>
          <w:b/>
          <w:bCs/>
          <w:sz w:val="18"/>
          <w:szCs w:val="18"/>
          <w:rtl/>
        </w:rPr>
        <w:t xml:space="preserve"> מדוע אין כאן את איסור דם שפירש ממקום למקום.</w:t>
      </w:r>
    </w:p>
    <w:p w:rsidR="008902D4" w:rsidRDefault="0016110F" w:rsidP="009E1EC2">
      <w:pPr>
        <w:rPr>
          <w:sz w:val="18"/>
          <w:szCs w:val="18"/>
          <w:rtl/>
        </w:rPr>
      </w:pPr>
      <w:r>
        <w:rPr>
          <w:rFonts w:hint="cs"/>
          <w:sz w:val="18"/>
          <w:szCs w:val="18"/>
          <w:rtl/>
        </w:rPr>
        <w:t xml:space="preserve">בסימן ס"ט סעיף </w:t>
      </w:r>
      <w:r w:rsidR="00AE7E1C">
        <w:rPr>
          <w:rFonts w:hint="cs"/>
          <w:sz w:val="18"/>
          <w:szCs w:val="18"/>
          <w:rtl/>
        </w:rPr>
        <w:t>י"א</w:t>
      </w:r>
      <w:r>
        <w:rPr>
          <w:rFonts w:hint="cs"/>
          <w:sz w:val="18"/>
          <w:szCs w:val="18"/>
          <w:rtl/>
        </w:rPr>
        <w:t xml:space="preserve"> נחלקו השו"ע והרמ"א בדין חתיכת בשר שלא נמלחה שהתבשלה במים פי שישים. המחבר מתיר ע"פ הרא"ש, כיון שהדם שיוצא בבישול מתבטל, והדם שלא יוצא, הרי הוא דם האיברים שלא פירש. והרמ"א אוסר ע"פ הרשב"א, דחיישינן לדם שפירש בתוך החתיכה ממקום למקום, וכבר אינו מוגדר דם הבלוע באיברים, ומאידך לא התבטל במים כיון שלא פירש.</w:t>
      </w:r>
    </w:p>
    <w:p w:rsidR="008D11BD" w:rsidRDefault="0016110F" w:rsidP="009E1EC2">
      <w:pPr>
        <w:rPr>
          <w:sz w:val="18"/>
          <w:szCs w:val="18"/>
          <w:rtl/>
        </w:rPr>
      </w:pPr>
      <w:r>
        <w:rPr>
          <w:rFonts w:hint="cs"/>
          <w:sz w:val="18"/>
          <w:szCs w:val="18"/>
          <w:rtl/>
        </w:rPr>
        <w:t xml:space="preserve">והנה אליבא דהרמ"א צריך להבין, היאך שייך לומר שהכבד אינו נאסר בבישול, דמחמת פליטתו אינו בולע, סו"ס ייאסר מחמת </w:t>
      </w:r>
      <w:r w:rsidR="008D11BD">
        <w:rPr>
          <w:rFonts w:hint="cs"/>
          <w:sz w:val="18"/>
          <w:szCs w:val="18"/>
          <w:rtl/>
        </w:rPr>
        <w:t>הדם שפירש ממקום למקום.  והתפרשו</w:t>
      </w:r>
      <w:r>
        <w:rPr>
          <w:rFonts w:hint="cs"/>
          <w:sz w:val="18"/>
          <w:szCs w:val="18"/>
          <w:rtl/>
        </w:rPr>
        <w:t xml:space="preserve"> בזה בדברי המטה יהו</w:t>
      </w:r>
      <w:r w:rsidR="008D11BD">
        <w:rPr>
          <w:rFonts w:hint="cs"/>
          <w:sz w:val="18"/>
          <w:szCs w:val="18"/>
          <w:rtl/>
        </w:rPr>
        <w:t>נתן והפמ"ג על סעיף ו', ג' ביאורים</w:t>
      </w:r>
      <w:r>
        <w:rPr>
          <w:rFonts w:hint="cs"/>
          <w:sz w:val="18"/>
          <w:szCs w:val="18"/>
          <w:rtl/>
        </w:rPr>
        <w:t>: א, כיון שהכבד כולו דם לא מוגדר בו פרישה ממקום למקום.  ב, כיון שדם הכבד דרבנן, לא גזרו בו על דם שפירש.  ג,</w:t>
      </w:r>
      <w:r w:rsidR="008D11BD">
        <w:rPr>
          <w:rFonts w:hint="cs"/>
          <w:sz w:val="18"/>
          <w:szCs w:val="18"/>
          <w:rtl/>
        </w:rPr>
        <w:t xml:space="preserve"> מחמת חוזק פליטת הדם, מה שפורש יוצא מיד ולא נשאר בפנים.</w:t>
      </w:r>
    </w:p>
    <w:p w:rsidR="0016110F" w:rsidRDefault="008D11BD" w:rsidP="009E1EC2">
      <w:pPr>
        <w:rPr>
          <w:sz w:val="18"/>
          <w:szCs w:val="18"/>
          <w:rtl/>
        </w:rPr>
      </w:pPr>
      <w:r>
        <w:rPr>
          <w:rFonts w:hint="cs"/>
          <w:sz w:val="18"/>
          <w:szCs w:val="18"/>
          <w:rtl/>
        </w:rPr>
        <w:t xml:space="preserve">והנה כתב הרמ"א בסעיף ו' שהכבד שהתבשל בשישים ללא צלייה, הכבד עצמו אסור. דהשווה דין הכבד שהתבשל בששים לדין בשר שהתבשל בשישים. ותמה המטה יהונתן, הלא בכבד ודאי אין לאיסור דם שפירש ממקום למקום, וכנ"ל.   ובדעת הרמ"א יש לומר שעד כמה שחיישינן לומר שהכבד כן נאסר, ולא סומכים על ריבוי הפליטה, משום שחוששים לשליקה, הוא הדין יש לחשוש שבאותו מצב של שליקה הדם כבר פורש ולא יוצא לגמרי. [עוד יש לומר לפי המבואר בראש יוסף שאם התירוץ על דם הפורש הוא משום דהוי דרבנן, לפי זה מסקנת הסוגיא אשר מבואר בה שדם הכבד דאורייתא, היא המקור לומר שהכבד נאסר. אם כן </w:t>
      </w:r>
      <w:r>
        <w:rPr>
          <w:sz w:val="18"/>
          <w:szCs w:val="18"/>
          <w:rtl/>
        </w:rPr>
        <w:t>–</w:t>
      </w:r>
      <w:r>
        <w:rPr>
          <w:rFonts w:hint="cs"/>
          <w:sz w:val="18"/>
          <w:szCs w:val="18"/>
          <w:rtl/>
        </w:rPr>
        <w:t xml:space="preserve"> מאותה סיבה שמחמירים שהכבד נאסר, גם צריך להחמיר בבישול בשישים.]</w:t>
      </w:r>
      <w:r w:rsidR="0016110F">
        <w:rPr>
          <w:rFonts w:hint="cs"/>
          <w:sz w:val="18"/>
          <w:szCs w:val="18"/>
          <w:rtl/>
        </w:rPr>
        <w:t xml:space="preserve"> </w:t>
      </w:r>
    </w:p>
    <w:p w:rsidR="0016110F" w:rsidRPr="0016110F" w:rsidRDefault="0016110F" w:rsidP="009E1EC2">
      <w:pPr>
        <w:rPr>
          <w:sz w:val="18"/>
          <w:szCs w:val="18"/>
          <w:rtl/>
        </w:rPr>
      </w:pPr>
    </w:p>
    <w:p w:rsidR="008902D4" w:rsidRDefault="008902D4" w:rsidP="009E1EC2">
      <w:pPr>
        <w:rPr>
          <w:b/>
          <w:bCs/>
          <w:sz w:val="18"/>
          <w:szCs w:val="18"/>
          <w:rtl/>
        </w:rPr>
      </w:pPr>
      <w:r>
        <w:rPr>
          <w:rFonts w:hint="cs"/>
          <w:b/>
          <w:bCs/>
          <w:sz w:val="18"/>
          <w:szCs w:val="18"/>
          <w:rtl/>
        </w:rPr>
        <w:t>ב, כבד שנצלה בתוך התרנגולת וכבד שהתבשל בתוך התרנגולת</w:t>
      </w:r>
    </w:p>
    <w:p w:rsidR="00950D8A" w:rsidRDefault="00950D8A" w:rsidP="009E1EC2">
      <w:pPr>
        <w:rPr>
          <w:sz w:val="18"/>
          <w:szCs w:val="18"/>
          <w:rtl/>
        </w:rPr>
      </w:pPr>
      <w:r>
        <w:rPr>
          <w:rFonts w:hint="cs"/>
          <w:sz w:val="18"/>
          <w:szCs w:val="18"/>
          <w:rtl/>
        </w:rPr>
        <w:t>הנה רבינו ירוחם כתב שכבד שהתבשל בתוך תרנגולת שיש בה שישים, אינו נאסר, ומשום שהדם יוצא ומתבטל. ומאידך מחדש שאם נצלה הכבד בתוך התרנגולת, הרי הוא עצמו נאסר. ואף שבעלמא בצלייה אין הדם אוסר, ביאר הש"ך שמצטבר הדם שיוצא בצלייה בתוך התרנגולת מתחת הכבד ואח"כ חוזר ונבלע ולכאורה הכוונה שלאחר שהצלייה גומרת להוציא את הדם, חיישינן שיחזור וייבלע.</w:t>
      </w:r>
    </w:p>
    <w:p w:rsidR="00950D8A" w:rsidRDefault="00DF2DAC" w:rsidP="009E1EC2">
      <w:pPr>
        <w:rPr>
          <w:sz w:val="18"/>
          <w:szCs w:val="18"/>
          <w:rtl/>
        </w:rPr>
      </w:pPr>
      <w:r>
        <w:rPr>
          <w:rFonts w:hint="cs"/>
          <w:sz w:val="18"/>
          <w:szCs w:val="18"/>
          <w:rtl/>
        </w:rPr>
        <w:t xml:space="preserve">אמנם הרמ"א פסק להיפך. </w:t>
      </w:r>
      <w:r w:rsidR="007052D5">
        <w:rPr>
          <w:rFonts w:hint="cs"/>
          <w:sz w:val="18"/>
          <w:szCs w:val="18"/>
          <w:rtl/>
        </w:rPr>
        <w:t>דכבד שהתבשל בתוך התרנגולת נאסר, אף אם יש שישים כנגדו, וכנ"ל.  אבל כבד שנצלה בתרנגולת מותר וכמו כל צלייה, וכן הלכה. [והאיר הר"י קטרוזה שליט"א לדברי הפת"ש א' בשם הנו"ב, שאין לצלות את הכבד על גבי תנור, משום שהדם פורש ואח"כ חוזר ונבלע. וחזינן שבעיקר הסברא מודים לרבינו ירוחם, אלא שבתרנגולת נקטינן שהדם מצליח לצאת.]</w:t>
      </w:r>
    </w:p>
    <w:p w:rsidR="00950D8A" w:rsidRPr="00950D8A" w:rsidRDefault="00950D8A" w:rsidP="009E1EC2">
      <w:pPr>
        <w:rPr>
          <w:sz w:val="18"/>
          <w:szCs w:val="18"/>
          <w:rtl/>
        </w:rPr>
      </w:pPr>
    </w:p>
    <w:p w:rsidR="008902D4" w:rsidRPr="008902D4" w:rsidRDefault="008902D4" w:rsidP="009E1EC2">
      <w:pPr>
        <w:rPr>
          <w:b/>
          <w:bCs/>
          <w:sz w:val="18"/>
          <w:szCs w:val="18"/>
          <w:rtl/>
        </w:rPr>
      </w:pPr>
      <w:r>
        <w:rPr>
          <w:rFonts w:hint="cs"/>
          <w:b/>
          <w:bCs/>
          <w:sz w:val="18"/>
          <w:szCs w:val="18"/>
          <w:rtl/>
        </w:rPr>
        <w:t>ג, האם יש שייכות בין 'איסור דבוק' לבין 'חנ"ן'</w:t>
      </w:r>
    </w:p>
    <w:p w:rsidR="00CB6087" w:rsidRDefault="007052D5" w:rsidP="004D4EF4">
      <w:pPr>
        <w:rPr>
          <w:sz w:val="18"/>
          <w:szCs w:val="18"/>
          <w:rtl/>
        </w:rPr>
      </w:pPr>
      <w:r>
        <w:rPr>
          <w:rFonts w:hint="cs"/>
          <w:sz w:val="18"/>
          <w:szCs w:val="18"/>
          <w:rtl/>
        </w:rPr>
        <w:t>מבואר</w:t>
      </w:r>
      <w:r w:rsidR="004D4EF4">
        <w:rPr>
          <w:rFonts w:hint="cs"/>
          <w:sz w:val="18"/>
          <w:szCs w:val="18"/>
          <w:rtl/>
        </w:rPr>
        <w:t>ת</w:t>
      </w:r>
      <w:r>
        <w:rPr>
          <w:rFonts w:hint="cs"/>
          <w:sz w:val="18"/>
          <w:szCs w:val="18"/>
          <w:rtl/>
        </w:rPr>
        <w:t xml:space="preserve"> כאן </w:t>
      </w:r>
      <w:r w:rsidR="004D4EF4">
        <w:rPr>
          <w:rFonts w:hint="cs"/>
          <w:sz w:val="18"/>
          <w:szCs w:val="18"/>
          <w:rtl/>
        </w:rPr>
        <w:t>מחלוקת. המחבר (ס"ו) כתב שאם כבד התבשל בתוך העוף, והיה בקדירה שישים כנגד הכבד, הכל יהיה מותר כולל העוף עצמו. ואילו ה</w:t>
      </w:r>
      <w:r>
        <w:rPr>
          <w:rFonts w:hint="cs"/>
          <w:sz w:val="18"/>
          <w:szCs w:val="18"/>
          <w:rtl/>
        </w:rPr>
        <w:t>רמ"א</w:t>
      </w:r>
      <w:r w:rsidR="004D4EF4">
        <w:rPr>
          <w:rFonts w:hint="cs"/>
          <w:sz w:val="18"/>
          <w:szCs w:val="18"/>
          <w:rtl/>
        </w:rPr>
        <w:t xml:space="preserve"> פליג וס"ל שכיון שהכבד דבוק בעוף, יייאסר העוף עצמו [כיון שבו אין שישים כנגד הכבד] וממילא יצטרכו בקדרה שישים כנגד כל העוף</w:t>
      </w:r>
      <w:r>
        <w:rPr>
          <w:rFonts w:hint="cs"/>
          <w:sz w:val="18"/>
          <w:szCs w:val="18"/>
          <w:rtl/>
        </w:rPr>
        <w:t xml:space="preserve">. ומבואר בפוסקים </w:t>
      </w:r>
      <w:r w:rsidR="004D4EF4">
        <w:rPr>
          <w:rFonts w:hint="cs"/>
          <w:sz w:val="18"/>
          <w:szCs w:val="18"/>
          <w:rtl/>
        </w:rPr>
        <w:t xml:space="preserve">(ב"י כאן, ש"ך סקכ"ב) שהיתר המחבר הוא </w:t>
      </w:r>
      <w:r>
        <w:rPr>
          <w:rFonts w:hint="cs"/>
          <w:sz w:val="18"/>
          <w:szCs w:val="18"/>
          <w:rtl/>
        </w:rPr>
        <w:t>לשיטתו</w:t>
      </w:r>
      <w:r w:rsidR="004D4EF4">
        <w:rPr>
          <w:rFonts w:hint="cs"/>
          <w:sz w:val="18"/>
          <w:szCs w:val="18"/>
          <w:rtl/>
        </w:rPr>
        <w:t xml:space="preserve"> דס"ל</w:t>
      </w:r>
      <w:r>
        <w:rPr>
          <w:rFonts w:hint="cs"/>
          <w:sz w:val="18"/>
          <w:szCs w:val="18"/>
          <w:rtl/>
        </w:rPr>
        <w:t xml:space="preserve"> ש</w:t>
      </w:r>
      <w:r w:rsidR="004D4EF4">
        <w:rPr>
          <w:rFonts w:hint="cs"/>
          <w:sz w:val="18"/>
          <w:szCs w:val="18"/>
          <w:rtl/>
        </w:rPr>
        <w:t>לא אמרינן חנ"ן בשאר איסורים.</w:t>
      </w:r>
    </w:p>
    <w:p w:rsidR="007052D5" w:rsidRPr="004D4EF4" w:rsidRDefault="007052D5" w:rsidP="00453384">
      <w:pPr>
        <w:rPr>
          <w:sz w:val="18"/>
          <w:szCs w:val="18"/>
          <w:rtl/>
        </w:rPr>
      </w:pPr>
      <w:r>
        <w:rPr>
          <w:rFonts w:hint="cs"/>
          <w:sz w:val="18"/>
          <w:szCs w:val="18"/>
          <w:rtl/>
        </w:rPr>
        <w:t>והדברים טעונים ביאור. דיסוד איסור דבוק הוא מה שאין הבלע מתפשט בשווה אלא מתרכז בחתיכה הדבוקה, ועל כן דינה להיאסר. ומה שייכות יש בזה לחנ"ן</w:t>
      </w:r>
      <w:r w:rsidR="004D4EF4">
        <w:rPr>
          <w:rFonts w:hint="cs"/>
          <w:sz w:val="18"/>
          <w:szCs w:val="18"/>
          <w:rtl/>
        </w:rPr>
        <w:t xml:space="preserve"> (וודאי שהר</w:t>
      </w:r>
      <w:r>
        <w:rPr>
          <w:rFonts w:hint="cs"/>
          <w:sz w:val="18"/>
          <w:szCs w:val="18"/>
          <w:rtl/>
        </w:rPr>
        <w:t xml:space="preserve">. ואם נאמר שרק בתחילה מקבלת החתיכה את טעם האיסור, ואח"כ חוזר ומתפשט, אין זה מועיל, דהא גם למחבר אין חתיכה חוזרת להיתרה. ואם תאמר שמוגדר מראש סופו להתפשט, אם כן גם חנ"ן לא שייך כאן. </w:t>
      </w:r>
      <w:r w:rsidR="004D4EF4">
        <w:rPr>
          <w:rFonts w:hint="cs"/>
          <w:sz w:val="18"/>
          <w:szCs w:val="18"/>
          <w:rtl/>
        </w:rPr>
        <w:t>ועי' בפרישה כאן שבאמת משמע שהם שני נידונים. וכן עי' פמ"ג סימן כ"ב ש"ד</w:t>
      </w:r>
      <w:r w:rsidR="00A25CC2">
        <w:rPr>
          <w:rFonts w:hint="cs"/>
          <w:sz w:val="18"/>
          <w:szCs w:val="18"/>
          <w:rtl/>
        </w:rPr>
        <w:t xml:space="preserve"> שכן כתב בפשיטות שאין הנידונים קשורים זה לזה. וכן עי' בסימן צ"ו בפמ"ג ש"ד י"ב וברעק"א על הש"ך סק"י שנקטו בפשיטות שעצם איסור דבוק אסור מדאורייתא (ובהכרח שאינו בנוי על חנ"ן בשאר איסורים).</w:t>
      </w:r>
      <w:bookmarkStart w:id="0" w:name="_GoBack"/>
      <w:bookmarkEnd w:id="0"/>
    </w:p>
    <w:p w:rsidR="008975D9" w:rsidRDefault="008975D9" w:rsidP="00453384">
      <w:pPr>
        <w:rPr>
          <w:sz w:val="18"/>
          <w:szCs w:val="18"/>
          <w:rtl/>
        </w:rPr>
      </w:pPr>
    </w:p>
    <w:p w:rsidR="007052D5" w:rsidRDefault="009E3CD6" w:rsidP="009E3CD6">
      <w:pPr>
        <w:rPr>
          <w:b/>
          <w:bCs/>
          <w:sz w:val="18"/>
          <w:szCs w:val="18"/>
          <w:rtl/>
        </w:rPr>
      </w:pPr>
      <w:r>
        <w:rPr>
          <w:rFonts w:hint="cs"/>
          <w:b/>
          <w:bCs/>
          <w:sz w:val="18"/>
          <w:szCs w:val="18"/>
          <w:rtl/>
        </w:rPr>
        <w:t>ד, צליית</w:t>
      </w:r>
      <w:r w:rsidR="007052D5">
        <w:rPr>
          <w:rFonts w:hint="cs"/>
          <w:b/>
          <w:bCs/>
          <w:sz w:val="18"/>
          <w:szCs w:val="18"/>
          <w:rtl/>
        </w:rPr>
        <w:t xml:space="preserve"> </w:t>
      </w:r>
      <w:r>
        <w:rPr>
          <w:rFonts w:hint="cs"/>
          <w:b/>
          <w:bCs/>
          <w:sz w:val="18"/>
          <w:szCs w:val="18"/>
          <w:rtl/>
        </w:rPr>
        <w:t>חתיכות זו מעל גבי זו</w:t>
      </w:r>
    </w:p>
    <w:tbl>
      <w:tblPr>
        <w:tblStyle w:val="a6"/>
        <w:bidiVisual/>
        <w:tblW w:w="0" w:type="auto"/>
        <w:tblLook w:val="04A0" w:firstRow="1" w:lastRow="0" w:firstColumn="1" w:lastColumn="0" w:noHBand="0" w:noVBand="1"/>
      </w:tblPr>
      <w:tblGrid>
        <w:gridCol w:w="2765"/>
        <w:gridCol w:w="2765"/>
        <w:gridCol w:w="2766"/>
      </w:tblGrid>
      <w:tr w:rsidR="00215C04" w:rsidTr="00EC6BC0">
        <w:tc>
          <w:tcPr>
            <w:tcW w:w="2765" w:type="dxa"/>
          </w:tcPr>
          <w:p w:rsidR="00215C04" w:rsidRDefault="00215C04" w:rsidP="00EC6BC0">
            <w:pPr>
              <w:rPr>
                <w:b/>
                <w:bCs/>
                <w:rtl/>
              </w:rPr>
            </w:pPr>
            <w:r>
              <w:rPr>
                <w:rFonts w:hint="cs"/>
                <w:b/>
                <w:bCs/>
                <w:rtl/>
              </w:rPr>
              <w:t xml:space="preserve">                                                </w:t>
            </w:r>
          </w:p>
        </w:tc>
        <w:tc>
          <w:tcPr>
            <w:tcW w:w="2765" w:type="dxa"/>
          </w:tcPr>
          <w:p w:rsidR="00215C04" w:rsidRDefault="00215C04" w:rsidP="00EC6BC0">
            <w:pPr>
              <w:rPr>
                <w:b/>
                <w:bCs/>
                <w:rtl/>
              </w:rPr>
            </w:pPr>
            <w:r>
              <w:rPr>
                <w:rFonts w:hint="cs"/>
                <w:b/>
                <w:bCs/>
                <w:rtl/>
              </w:rPr>
              <w:t xml:space="preserve">        כבד מעל בשר</w:t>
            </w:r>
          </w:p>
        </w:tc>
        <w:tc>
          <w:tcPr>
            <w:tcW w:w="2766" w:type="dxa"/>
          </w:tcPr>
          <w:p w:rsidR="00215C04" w:rsidRDefault="00215C04" w:rsidP="00EC6BC0">
            <w:pPr>
              <w:rPr>
                <w:b/>
                <w:bCs/>
                <w:rtl/>
              </w:rPr>
            </w:pPr>
            <w:r>
              <w:rPr>
                <w:rFonts w:hint="cs"/>
                <w:b/>
                <w:bCs/>
                <w:rtl/>
              </w:rPr>
              <w:t xml:space="preserve">        בשר מעל כבד</w:t>
            </w:r>
          </w:p>
        </w:tc>
      </w:tr>
      <w:tr w:rsidR="00215C04" w:rsidTr="00EC6BC0">
        <w:tc>
          <w:tcPr>
            <w:tcW w:w="2765" w:type="dxa"/>
          </w:tcPr>
          <w:p w:rsidR="00215C04" w:rsidRDefault="00215C04" w:rsidP="00EC6BC0">
            <w:pPr>
              <w:rPr>
                <w:b/>
                <w:bCs/>
                <w:rtl/>
              </w:rPr>
            </w:pPr>
            <w:r>
              <w:rPr>
                <w:rFonts w:hint="cs"/>
                <w:b/>
                <w:bCs/>
                <w:rtl/>
              </w:rPr>
              <w:t>בשר וכבד שלא נמלחו</w:t>
            </w:r>
          </w:p>
        </w:tc>
        <w:tc>
          <w:tcPr>
            <w:tcW w:w="2765" w:type="dxa"/>
          </w:tcPr>
          <w:p w:rsidR="00215C04" w:rsidRPr="00420B8D" w:rsidRDefault="00215C04" w:rsidP="00EC6BC0">
            <w:pPr>
              <w:rPr>
                <w:rtl/>
              </w:rPr>
            </w:pPr>
            <w:r>
              <w:rPr>
                <w:rFonts w:hint="cs"/>
                <w:rtl/>
              </w:rPr>
              <w:t>אסור</w:t>
            </w:r>
          </w:p>
        </w:tc>
        <w:tc>
          <w:tcPr>
            <w:tcW w:w="2766" w:type="dxa"/>
          </w:tcPr>
          <w:p w:rsidR="00215C04" w:rsidRPr="00420B8D" w:rsidRDefault="00215C04" w:rsidP="00EC6BC0">
            <w:pPr>
              <w:rPr>
                <w:rtl/>
              </w:rPr>
            </w:pPr>
            <w:r>
              <w:rPr>
                <w:rFonts w:hint="cs"/>
                <w:rtl/>
              </w:rPr>
              <w:t>מותר</w:t>
            </w:r>
          </w:p>
        </w:tc>
      </w:tr>
      <w:tr w:rsidR="00215C04" w:rsidTr="00EC6BC0">
        <w:tc>
          <w:tcPr>
            <w:tcW w:w="2765" w:type="dxa"/>
          </w:tcPr>
          <w:p w:rsidR="00215C04" w:rsidRDefault="00215C04" w:rsidP="00EC6BC0">
            <w:pPr>
              <w:rPr>
                <w:b/>
                <w:bCs/>
                <w:rtl/>
              </w:rPr>
            </w:pPr>
            <w:r>
              <w:rPr>
                <w:rFonts w:hint="cs"/>
                <w:b/>
                <w:bCs/>
                <w:rtl/>
              </w:rPr>
              <w:t>בשר וכבד שנמלחו</w:t>
            </w:r>
          </w:p>
        </w:tc>
        <w:tc>
          <w:tcPr>
            <w:tcW w:w="2765" w:type="dxa"/>
          </w:tcPr>
          <w:p w:rsidR="00215C04" w:rsidRPr="00420B8D" w:rsidRDefault="00215C04" w:rsidP="00EC6BC0">
            <w:pPr>
              <w:rPr>
                <w:rtl/>
              </w:rPr>
            </w:pPr>
            <w:r>
              <w:rPr>
                <w:rFonts w:hint="cs"/>
                <w:rtl/>
              </w:rPr>
              <w:t xml:space="preserve">לר"ת מותר. ולחולקים </w:t>
            </w:r>
            <w:r>
              <w:rPr>
                <w:rtl/>
              </w:rPr>
              <w:t>–</w:t>
            </w:r>
            <w:r>
              <w:rPr>
                <w:rFonts w:hint="cs"/>
                <w:rtl/>
              </w:rPr>
              <w:t xml:space="preserve"> לכאורה אסור.</w:t>
            </w:r>
          </w:p>
        </w:tc>
        <w:tc>
          <w:tcPr>
            <w:tcW w:w="2766" w:type="dxa"/>
          </w:tcPr>
          <w:p w:rsidR="00215C04" w:rsidRPr="00420B8D" w:rsidRDefault="00215C04" w:rsidP="00EC6BC0">
            <w:pPr>
              <w:rPr>
                <w:rtl/>
              </w:rPr>
            </w:pPr>
            <w:r>
              <w:rPr>
                <w:rFonts w:hint="cs"/>
                <w:rtl/>
              </w:rPr>
              <w:t>מותר</w:t>
            </w:r>
          </w:p>
        </w:tc>
      </w:tr>
      <w:tr w:rsidR="00215C04" w:rsidTr="00EC6BC0">
        <w:tc>
          <w:tcPr>
            <w:tcW w:w="2765" w:type="dxa"/>
          </w:tcPr>
          <w:p w:rsidR="00215C04" w:rsidRDefault="00215C04" w:rsidP="00EC6BC0">
            <w:pPr>
              <w:rPr>
                <w:b/>
                <w:bCs/>
                <w:rtl/>
              </w:rPr>
            </w:pPr>
            <w:r>
              <w:rPr>
                <w:rFonts w:hint="cs"/>
                <w:b/>
                <w:bCs/>
                <w:rtl/>
              </w:rPr>
              <w:t>בשר נמלח וכבד לא נמלח</w:t>
            </w:r>
          </w:p>
        </w:tc>
        <w:tc>
          <w:tcPr>
            <w:tcW w:w="2765" w:type="dxa"/>
          </w:tcPr>
          <w:p w:rsidR="00215C04" w:rsidRPr="00043F00" w:rsidRDefault="00215C04" w:rsidP="00EC6BC0">
            <w:pPr>
              <w:rPr>
                <w:rtl/>
              </w:rPr>
            </w:pPr>
            <w:r>
              <w:rPr>
                <w:rFonts w:hint="cs"/>
                <w:rtl/>
              </w:rPr>
              <w:t>אסור</w:t>
            </w:r>
          </w:p>
        </w:tc>
        <w:tc>
          <w:tcPr>
            <w:tcW w:w="2766" w:type="dxa"/>
          </w:tcPr>
          <w:p w:rsidR="00215C04" w:rsidRPr="00043F00" w:rsidRDefault="00215C04" w:rsidP="00EC6BC0">
            <w:pPr>
              <w:rPr>
                <w:rtl/>
              </w:rPr>
            </w:pPr>
            <w:r>
              <w:rPr>
                <w:rFonts w:hint="cs"/>
                <w:rtl/>
              </w:rPr>
              <w:t>מותר</w:t>
            </w:r>
          </w:p>
        </w:tc>
      </w:tr>
      <w:tr w:rsidR="00215C04" w:rsidTr="00EC6BC0">
        <w:tc>
          <w:tcPr>
            <w:tcW w:w="2765" w:type="dxa"/>
          </w:tcPr>
          <w:p w:rsidR="00215C04" w:rsidRDefault="00215C04" w:rsidP="00EC6BC0">
            <w:pPr>
              <w:rPr>
                <w:b/>
                <w:bCs/>
                <w:rtl/>
              </w:rPr>
            </w:pPr>
            <w:r>
              <w:rPr>
                <w:rFonts w:hint="cs"/>
                <w:b/>
                <w:bCs/>
                <w:rtl/>
              </w:rPr>
              <w:t>בשר לא נמלח וכבד נמלח</w:t>
            </w:r>
          </w:p>
        </w:tc>
        <w:tc>
          <w:tcPr>
            <w:tcW w:w="2765" w:type="dxa"/>
          </w:tcPr>
          <w:p w:rsidR="00215C04" w:rsidRPr="00043F00" w:rsidRDefault="00215C04" w:rsidP="00EC6BC0">
            <w:pPr>
              <w:rPr>
                <w:rtl/>
              </w:rPr>
            </w:pPr>
            <w:r>
              <w:rPr>
                <w:rFonts w:hint="cs"/>
                <w:rtl/>
              </w:rPr>
              <w:t>לר"ת מותר. וחידשו התוס', שגם לחולקים מותר.</w:t>
            </w:r>
          </w:p>
        </w:tc>
        <w:tc>
          <w:tcPr>
            <w:tcW w:w="2766" w:type="dxa"/>
          </w:tcPr>
          <w:p w:rsidR="00215C04" w:rsidRPr="00043F00" w:rsidRDefault="00215C04" w:rsidP="00EC6BC0">
            <w:pPr>
              <w:rPr>
                <w:rtl/>
              </w:rPr>
            </w:pPr>
            <w:r>
              <w:rPr>
                <w:rFonts w:hint="cs"/>
                <w:rtl/>
              </w:rPr>
              <w:t>לר"ת לכאורה אסור (ב"ח ודרישה. והש"ך פליג). ולחולקים מותר.</w:t>
            </w:r>
          </w:p>
        </w:tc>
      </w:tr>
    </w:tbl>
    <w:p w:rsidR="00215C04" w:rsidRDefault="00215C04" w:rsidP="009E3CD6">
      <w:pPr>
        <w:rPr>
          <w:b/>
          <w:bCs/>
          <w:sz w:val="18"/>
          <w:szCs w:val="18"/>
          <w:rtl/>
        </w:rPr>
      </w:pPr>
    </w:p>
    <w:p w:rsidR="009E498E" w:rsidRDefault="009E498E" w:rsidP="009E3CD6">
      <w:pPr>
        <w:rPr>
          <w:b/>
          <w:bCs/>
          <w:sz w:val="18"/>
          <w:szCs w:val="18"/>
          <w:rtl/>
        </w:rPr>
      </w:pPr>
    </w:p>
    <w:p w:rsidR="009E498E" w:rsidRDefault="009E498E" w:rsidP="009E3CD6">
      <w:pPr>
        <w:rPr>
          <w:b/>
          <w:bCs/>
          <w:sz w:val="18"/>
          <w:szCs w:val="18"/>
          <w:rtl/>
        </w:rPr>
      </w:pPr>
      <w:r>
        <w:rPr>
          <w:rFonts w:hint="cs"/>
          <w:b/>
          <w:bCs/>
          <w:sz w:val="18"/>
          <w:szCs w:val="18"/>
          <w:rtl/>
        </w:rPr>
        <w:t>ה, האם בדיעבד הלכה כר"ת</w:t>
      </w:r>
    </w:p>
    <w:p w:rsidR="006F1FBD" w:rsidRDefault="006F1FBD" w:rsidP="009E3CD6">
      <w:pPr>
        <w:rPr>
          <w:sz w:val="18"/>
          <w:szCs w:val="18"/>
          <w:rtl/>
        </w:rPr>
      </w:pPr>
      <w:r>
        <w:rPr>
          <w:rFonts w:hint="cs"/>
          <w:sz w:val="18"/>
          <w:szCs w:val="18"/>
          <w:rtl/>
        </w:rPr>
        <w:t>ר"ת חידש שני חידושים: א', שדם הכבד אינו אסור אלא רק מדרבנן. ב, שמועילה מליחה לכבד, לאחר קריעה שתי וערב.</w:t>
      </w:r>
    </w:p>
    <w:p w:rsidR="006F1FBD" w:rsidRDefault="006F1FBD" w:rsidP="009E3CD6">
      <w:pPr>
        <w:rPr>
          <w:sz w:val="18"/>
          <w:szCs w:val="18"/>
          <w:rtl/>
        </w:rPr>
      </w:pPr>
      <w:r>
        <w:rPr>
          <w:rFonts w:hint="cs"/>
          <w:sz w:val="18"/>
          <w:szCs w:val="18"/>
          <w:rtl/>
        </w:rPr>
        <w:t>והנה לגבי הא דדם הכבד דרבנן, כך נקט התו"ח בפשיטות לגבי חובת הדחה, והביאו הש"ך, וכן כתב הפמ"ג שכן ההכרעה בסימן.</w:t>
      </w:r>
    </w:p>
    <w:p w:rsidR="00D00F98" w:rsidRPr="00215C04" w:rsidRDefault="006F1FBD" w:rsidP="009E3CD6">
      <w:pPr>
        <w:rPr>
          <w:b/>
          <w:bCs/>
          <w:sz w:val="18"/>
          <w:szCs w:val="18"/>
        </w:rPr>
      </w:pPr>
      <w:r>
        <w:rPr>
          <w:rFonts w:hint="cs"/>
          <w:sz w:val="18"/>
          <w:szCs w:val="18"/>
          <w:rtl/>
        </w:rPr>
        <w:t xml:space="preserve">ולגבי תועלת המליחה, </w:t>
      </w:r>
      <w:r w:rsidR="009E498E">
        <w:rPr>
          <w:rFonts w:hint="cs"/>
          <w:sz w:val="18"/>
          <w:szCs w:val="18"/>
          <w:rtl/>
        </w:rPr>
        <w:t>הנה כתב הטור שבדיעבד הלכה כר"ת, שמועיל בכבד קריעה שתי וערב ומליחה. ונראה שלמעשה נחלקו הט"ז והש"ך בדעת הרמ"א כלפי מה דברים אמורים. דבט"ז כתב שאם הורה המורה להתיר, הרי זה מותר בבישול אף לכתחילה. אמנם בש"ך כתב שגם בהורה המורה, ההיתר הוא רק אם כבר התבשל התבשיל, דלא מחזירים את המעשה בדיעבד. (ובט"ז הקל קולא נוספת דאף לגבי הכבד עצמו יש להקל בדיעבד בהורה המורה, והש"ך פליג בזה, וכמו וכן קיי"ל וכמו שמבואר בפמ"ג על הט"ז שם.)</w:t>
      </w:r>
      <w:r>
        <w:rPr>
          <w:rFonts w:hint="cs"/>
          <w:b/>
          <w:bCs/>
          <w:sz w:val="18"/>
          <w:szCs w:val="18"/>
          <w:rtl/>
        </w:rPr>
        <w:t xml:space="preserve">                           </w:t>
      </w:r>
      <w:r>
        <w:rPr>
          <w:rFonts w:hint="cs"/>
          <w:sz w:val="18"/>
          <w:szCs w:val="18"/>
          <w:rtl/>
        </w:rPr>
        <w:t>ובדעת המחבר לא התפרש</w:t>
      </w:r>
      <w:r w:rsidR="00EC6BC0">
        <w:rPr>
          <w:rFonts w:hint="cs"/>
          <w:b/>
          <w:bCs/>
          <w:sz w:val="18"/>
          <w:szCs w:val="18"/>
          <w:rtl/>
        </w:rPr>
        <w:t xml:space="preserve"> </w:t>
      </w:r>
    </w:p>
    <w:sectPr w:rsidR="00D00F98" w:rsidRPr="00215C04"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044" w:rsidRDefault="00240044" w:rsidP="00453384">
      <w:pPr>
        <w:spacing w:after="0" w:line="240" w:lineRule="auto"/>
      </w:pPr>
      <w:r>
        <w:separator/>
      </w:r>
    </w:p>
  </w:endnote>
  <w:endnote w:type="continuationSeparator" w:id="0">
    <w:p w:rsidR="00240044" w:rsidRDefault="00240044" w:rsidP="0045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044" w:rsidRDefault="00240044" w:rsidP="00453384">
      <w:pPr>
        <w:spacing w:after="0" w:line="240" w:lineRule="auto"/>
      </w:pPr>
      <w:r>
        <w:separator/>
      </w:r>
    </w:p>
  </w:footnote>
  <w:footnote w:type="continuationSeparator" w:id="0">
    <w:p w:rsidR="00240044" w:rsidRDefault="00240044" w:rsidP="00453384">
      <w:pPr>
        <w:spacing w:after="0" w:line="240" w:lineRule="auto"/>
      </w:pPr>
      <w:r>
        <w:continuationSeparator/>
      </w:r>
    </w:p>
  </w:footnote>
  <w:footnote w:id="1">
    <w:p w:rsidR="00B154C0" w:rsidRPr="00D16989" w:rsidRDefault="00B154C0">
      <w:pPr>
        <w:pStyle w:val="a3"/>
        <w:rPr>
          <w:sz w:val="16"/>
          <w:szCs w:val="16"/>
        </w:rPr>
      </w:pPr>
      <w:r>
        <w:rPr>
          <w:rStyle w:val="a5"/>
        </w:rPr>
        <w:footnoteRef/>
      </w:r>
      <w:r>
        <w:rPr>
          <w:rtl/>
        </w:rPr>
        <w:t xml:space="preserve"> </w:t>
      </w:r>
      <w:r>
        <w:rPr>
          <w:rFonts w:hint="cs"/>
          <w:sz w:val="16"/>
          <w:szCs w:val="16"/>
          <w:rtl/>
        </w:rPr>
        <w:t>ע"פ העולה מסימן ע"ג. ייתכנו תוספות כאשר נלמד בע"ה סימן ע"ו.</w:t>
      </w:r>
    </w:p>
  </w:footnote>
  <w:footnote w:id="2">
    <w:p w:rsidR="00B154C0" w:rsidRPr="00BB0B92" w:rsidRDefault="00B154C0">
      <w:pPr>
        <w:pStyle w:val="a3"/>
        <w:rPr>
          <w:sz w:val="16"/>
          <w:szCs w:val="16"/>
          <w:rtl/>
        </w:rPr>
      </w:pPr>
      <w:r w:rsidRPr="00BB0B92">
        <w:rPr>
          <w:rStyle w:val="a5"/>
          <w:sz w:val="16"/>
          <w:szCs w:val="16"/>
        </w:rPr>
        <w:footnoteRef/>
      </w:r>
      <w:r w:rsidRPr="00BB0B92">
        <w:rPr>
          <w:rFonts w:hint="cs"/>
          <w:sz w:val="16"/>
          <w:szCs w:val="16"/>
          <w:rtl/>
        </w:rPr>
        <w:t>זו שיטת המחבר דאף לצלי לבד בעינן צליה, והיא כשיטת הבה"ג. וכתב הפר"ח שבכה"ג סגי בקריעה שתי או ערב (משום שהחשש הוא רק מצד הדם בעין שכנוס בסמפונות, ובשבילו סגי בקריעה אחת), והביאו הפרי מגדים. ופסקו הכף החיים.</w:t>
      </w:r>
    </w:p>
  </w:footnote>
  <w:footnote w:id="3">
    <w:p w:rsidR="00B154C0" w:rsidRPr="00BB0B92" w:rsidRDefault="00B154C0">
      <w:pPr>
        <w:pStyle w:val="a3"/>
        <w:rPr>
          <w:sz w:val="16"/>
          <w:szCs w:val="16"/>
          <w:rtl/>
        </w:rPr>
      </w:pPr>
      <w:r w:rsidRPr="00BB0B92">
        <w:rPr>
          <w:rStyle w:val="a5"/>
          <w:sz w:val="16"/>
          <w:szCs w:val="16"/>
        </w:rPr>
        <w:footnoteRef/>
      </w:r>
      <w:r w:rsidRPr="00BB0B92">
        <w:rPr>
          <w:sz w:val="16"/>
          <w:szCs w:val="16"/>
          <w:rtl/>
        </w:rPr>
        <w:t xml:space="preserve"> </w:t>
      </w:r>
      <w:r w:rsidRPr="00BB0B92">
        <w:rPr>
          <w:rFonts w:hint="cs"/>
          <w:sz w:val="16"/>
          <w:szCs w:val="16"/>
          <w:rtl/>
        </w:rPr>
        <w:t>ולכאורה בזה אין להקפיד שבשעת הצלייה יהיה החיתוך למטה, אלא מספיק בכך שבזמן החיתוך בעצמו ינער קצת את הכבד כשהחיתוך כלפי מטה. שהרי כתב המחבר (ס"ג) שבדיעבד אפשר לעשות את החיתוך גם לאחר הצלייה. וחזינא שלגבי הדם בעין סגי בחיתוך לבדו, ללא תהליך הצלייה.</w:t>
      </w:r>
    </w:p>
  </w:footnote>
  <w:footnote w:id="4">
    <w:p w:rsidR="00B154C0" w:rsidRPr="00BB0B92" w:rsidRDefault="00B154C0">
      <w:pPr>
        <w:pStyle w:val="a3"/>
        <w:rPr>
          <w:sz w:val="16"/>
          <w:szCs w:val="16"/>
        </w:rPr>
      </w:pPr>
      <w:r w:rsidRPr="00BB0B92">
        <w:rPr>
          <w:rStyle w:val="a5"/>
          <w:sz w:val="16"/>
          <w:szCs w:val="16"/>
        </w:rPr>
        <w:footnoteRef/>
      </w:r>
      <w:r w:rsidRPr="00BB0B92">
        <w:rPr>
          <w:sz w:val="16"/>
          <w:szCs w:val="16"/>
          <w:rtl/>
        </w:rPr>
        <w:t xml:space="preserve"> </w:t>
      </w:r>
      <w:r w:rsidRPr="00BB0B92">
        <w:rPr>
          <w:rFonts w:hint="cs"/>
          <w:sz w:val="16"/>
          <w:szCs w:val="16"/>
          <w:rtl/>
        </w:rPr>
        <w:t>כך מנהג הרמ"א המובא בסימן ע"ו להדיח הבשר גם לפני צליה, וכמו לפני מליחה. (ואינו מעכב בדיעבד.)</w:t>
      </w:r>
    </w:p>
  </w:footnote>
  <w:footnote w:id="5">
    <w:p w:rsidR="00B154C0" w:rsidRPr="00BB0B92" w:rsidRDefault="00B154C0" w:rsidP="0095282B">
      <w:pPr>
        <w:pStyle w:val="a3"/>
        <w:rPr>
          <w:sz w:val="16"/>
          <w:szCs w:val="16"/>
          <w:rtl/>
        </w:rPr>
      </w:pPr>
      <w:r w:rsidRPr="00BB0B92">
        <w:rPr>
          <w:rStyle w:val="a5"/>
          <w:sz w:val="16"/>
          <w:szCs w:val="16"/>
        </w:rPr>
        <w:footnoteRef/>
      </w:r>
      <w:r w:rsidRPr="00BB0B92">
        <w:rPr>
          <w:sz w:val="16"/>
          <w:szCs w:val="16"/>
          <w:rtl/>
        </w:rPr>
        <w:t xml:space="preserve"> </w:t>
      </w:r>
      <w:r w:rsidRPr="00BB0B92">
        <w:rPr>
          <w:rFonts w:hint="cs"/>
          <w:sz w:val="16"/>
          <w:szCs w:val="16"/>
          <w:rtl/>
        </w:rPr>
        <w:t>רמ"א ס"ה, והוא מחמת מנהג הרמ"א בסימן ע"ו לחשוש לרש"י שכל צלייה טעונה מליחה קצת לפניה.</w:t>
      </w:r>
    </w:p>
  </w:footnote>
  <w:footnote w:id="6">
    <w:p w:rsidR="00B154C0" w:rsidRPr="00BB0B92" w:rsidRDefault="00B154C0">
      <w:pPr>
        <w:pStyle w:val="a3"/>
        <w:rPr>
          <w:sz w:val="16"/>
          <w:szCs w:val="16"/>
        </w:rPr>
      </w:pPr>
      <w:r w:rsidRPr="00BB0B92">
        <w:rPr>
          <w:rStyle w:val="a5"/>
          <w:sz w:val="16"/>
          <w:szCs w:val="16"/>
        </w:rPr>
        <w:footnoteRef/>
      </w:r>
      <w:r w:rsidRPr="00BB0B92">
        <w:rPr>
          <w:sz w:val="16"/>
          <w:szCs w:val="16"/>
          <w:rtl/>
        </w:rPr>
        <w:t xml:space="preserve"> </w:t>
      </w:r>
      <w:r w:rsidRPr="00BB0B92">
        <w:rPr>
          <w:rFonts w:hint="cs"/>
          <w:sz w:val="16"/>
          <w:szCs w:val="16"/>
          <w:rtl/>
        </w:rPr>
        <w:t>אבל לעשות את המליחה בפני עצמה כתב הרמ"א שם שלכתחילה אין לעשות (ומשני טעמים: א, שמא יחליפנו בבשר רגיל ויבוא לבשלו ללא צליה.  ב, מחמת חשש שהדם שיצא במליחה יחזור ויבלע בצליה. תו"ח).</w:t>
      </w:r>
    </w:p>
  </w:footnote>
  <w:footnote w:id="7">
    <w:p w:rsidR="00B154C0" w:rsidRPr="00BB0B92" w:rsidRDefault="00B154C0">
      <w:pPr>
        <w:pStyle w:val="a3"/>
        <w:rPr>
          <w:sz w:val="16"/>
          <w:szCs w:val="16"/>
        </w:rPr>
      </w:pPr>
      <w:r w:rsidRPr="00BB0B92">
        <w:rPr>
          <w:rStyle w:val="a5"/>
          <w:sz w:val="16"/>
          <w:szCs w:val="16"/>
        </w:rPr>
        <w:footnoteRef/>
      </w:r>
      <w:r w:rsidRPr="00BB0B92">
        <w:rPr>
          <w:sz w:val="16"/>
          <w:szCs w:val="16"/>
          <w:rtl/>
        </w:rPr>
        <w:t xml:space="preserve"> </w:t>
      </w:r>
      <w:r w:rsidRPr="00BB0B92">
        <w:rPr>
          <w:rFonts w:hint="cs"/>
          <w:sz w:val="16"/>
          <w:szCs w:val="16"/>
          <w:rtl/>
        </w:rPr>
        <w:t>כך כתב הרמ"א בסעיף ו' שנהגו להדיח לאחר הצליה, ועי' בש"ך שהיינו אף אם אינו מבשלו. (ולכאורה טעם הש"ך סק"ה להדחה אחר הצליה שהוא מצד המלח הדבוק בבשר, שייך גם אם לא מתעתד לבשלו. אבל הטעם שהמים מתאדמים שייך רק כאשר מבשל.)</w:t>
      </w:r>
    </w:p>
  </w:footnote>
  <w:footnote w:id="8">
    <w:p w:rsidR="00B154C0" w:rsidRPr="00215C04" w:rsidRDefault="00B154C0">
      <w:pPr>
        <w:pStyle w:val="a3"/>
        <w:rPr>
          <w:sz w:val="16"/>
          <w:szCs w:val="16"/>
          <w:rtl/>
        </w:rPr>
      </w:pPr>
      <w:r w:rsidRPr="00215C04">
        <w:rPr>
          <w:rStyle w:val="a5"/>
          <w:sz w:val="16"/>
          <w:szCs w:val="16"/>
        </w:rPr>
        <w:footnoteRef/>
      </w:r>
      <w:r w:rsidRPr="00215C04">
        <w:rPr>
          <w:sz w:val="16"/>
          <w:szCs w:val="16"/>
          <w:rtl/>
        </w:rPr>
        <w:t xml:space="preserve"> </w:t>
      </w:r>
      <w:r w:rsidRPr="00215C04">
        <w:rPr>
          <w:rFonts w:hint="cs"/>
          <w:sz w:val="16"/>
          <w:szCs w:val="16"/>
          <w:rtl/>
        </w:rPr>
        <w:t>פמ"ג ש"ד ה' בשם המ"י.</w:t>
      </w:r>
    </w:p>
  </w:footnote>
  <w:footnote w:id="9">
    <w:p w:rsidR="00B154C0" w:rsidRPr="00BB0B92" w:rsidRDefault="00B154C0">
      <w:pPr>
        <w:pStyle w:val="a3"/>
        <w:rPr>
          <w:sz w:val="16"/>
          <w:szCs w:val="16"/>
          <w:rtl/>
        </w:rPr>
      </w:pPr>
      <w:r w:rsidRPr="00BB0B92">
        <w:rPr>
          <w:rStyle w:val="a5"/>
          <w:sz w:val="16"/>
          <w:szCs w:val="16"/>
        </w:rPr>
        <w:footnoteRef/>
      </w:r>
      <w:r w:rsidRPr="00BB0B92">
        <w:rPr>
          <w:sz w:val="16"/>
          <w:szCs w:val="16"/>
          <w:rtl/>
        </w:rPr>
        <w:t xml:space="preserve"> </w:t>
      </w:r>
      <w:r w:rsidRPr="00BB0B92">
        <w:rPr>
          <w:rFonts w:hint="cs"/>
          <w:sz w:val="16"/>
          <w:szCs w:val="16"/>
          <w:rtl/>
        </w:rPr>
        <w:t>שו"ע כדינא דגמ'.</w:t>
      </w:r>
    </w:p>
  </w:footnote>
  <w:footnote w:id="10">
    <w:p w:rsidR="00B154C0" w:rsidRPr="00BB0B92" w:rsidRDefault="00B154C0">
      <w:pPr>
        <w:pStyle w:val="a3"/>
        <w:rPr>
          <w:sz w:val="16"/>
          <w:szCs w:val="16"/>
        </w:rPr>
      </w:pPr>
      <w:r w:rsidRPr="00BB0B92">
        <w:rPr>
          <w:rStyle w:val="a5"/>
          <w:sz w:val="16"/>
          <w:szCs w:val="16"/>
        </w:rPr>
        <w:footnoteRef/>
      </w:r>
      <w:r w:rsidRPr="00BB0B92">
        <w:rPr>
          <w:sz w:val="16"/>
          <w:szCs w:val="16"/>
          <w:rtl/>
        </w:rPr>
        <w:t xml:space="preserve"> </w:t>
      </w:r>
      <w:r w:rsidRPr="00BB0B92">
        <w:rPr>
          <w:rFonts w:hint="cs"/>
          <w:sz w:val="16"/>
          <w:szCs w:val="16"/>
          <w:rtl/>
        </w:rPr>
        <w:t>בית יוסף בשם רבינו יונה.</w:t>
      </w:r>
    </w:p>
  </w:footnote>
  <w:footnote w:id="11">
    <w:p w:rsidR="00B154C0" w:rsidRPr="00BB0B92" w:rsidRDefault="00B154C0">
      <w:pPr>
        <w:pStyle w:val="a3"/>
        <w:rPr>
          <w:sz w:val="16"/>
          <w:szCs w:val="16"/>
          <w:rtl/>
        </w:rPr>
      </w:pPr>
      <w:r w:rsidRPr="00BB0B92">
        <w:rPr>
          <w:rStyle w:val="a5"/>
          <w:sz w:val="16"/>
          <w:szCs w:val="16"/>
        </w:rPr>
        <w:footnoteRef/>
      </w:r>
      <w:r w:rsidRPr="00BB0B92">
        <w:rPr>
          <w:sz w:val="16"/>
          <w:szCs w:val="16"/>
          <w:rtl/>
        </w:rPr>
        <w:t xml:space="preserve"> </w:t>
      </w:r>
      <w:r w:rsidRPr="00BB0B92">
        <w:rPr>
          <w:rFonts w:hint="cs"/>
          <w:sz w:val="16"/>
          <w:szCs w:val="16"/>
          <w:rtl/>
        </w:rPr>
        <w:t>כך משמע קצת לשון השו"ע שבכה"ג גם בזמן הצלייה צריך החיתוך להיות למטה.</w:t>
      </w:r>
    </w:p>
  </w:footnote>
  <w:footnote w:id="12">
    <w:p w:rsidR="00B154C0" w:rsidRDefault="00B154C0">
      <w:pPr>
        <w:pStyle w:val="a3"/>
      </w:pPr>
      <w:r w:rsidRPr="00196403">
        <w:rPr>
          <w:rStyle w:val="a5"/>
          <w:sz w:val="16"/>
          <w:szCs w:val="16"/>
        </w:rPr>
        <w:footnoteRef/>
      </w:r>
      <w:r w:rsidRPr="00196403">
        <w:rPr>
          <w:sz w:val="16"/>
          <w:szCs w:val="16"/>
          <w:rtl/>
        </w:rPr>
        <w:t xml:space="preserve"> </w:t>
      </w:r>
      <w:r w:rsidRPr="00196403">
        <w:rPr>
          <w:rFonts w:hint="cs"/>
          <w:sz w:val="16"/>
          <w:szCs w:val="16"/>
          <w:rtl/>
        </w:rPr>
        <w:t>דנהגו שמועיל במקום חיתוך, ואף לכתחילה.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84"/>
    <w:rsid w:val="00051C0F"/>
    <w:rsid w:val="001428F1"/>
    <w:rsid w:val="0016110F"/>
    <w:rsid w:val="00196403"/>
    <w:rsid w:val="001F7E33"/>
    <w:rsid w:val="00215C04"/>
    <w:rsid w:val="00240044"/>
    <w:rsid w:val="002B7738"/>
    <w:rsid w:val="00453384"/>
    <w:rsid w:val="004D4EF4"/>
    <w:rsid w:val="006F1FBD"/>
    <w:rsid w:val="007052D5"/>
    <w:rsid w:val="00766028"/>
    <w:rsid w:val="008902D4"/>
    <w:rsid w:val="008975D9"/>
    <w:rsid w:val="008D11BD"/>
    <w:rsid w:val="008D39E8"/>
    <w:rsid w:val="00950D8A"/>
    <w:rsid w:val="0095282B"/>
    <w:rsid w:val="009743F8"/>
    <w:rsid w:val="00995DF1"/>
    <w:rsid w:val="009E1EC2"/>
    <w:rsid w:val="009E3CD6"/>
    <w:rsid w:val="009E498E"/>
    <w:rsid w:val="00A25CC2"/>
    <w:rsid w:val="00AE7E1C"/>
    <w:rsid w:val="00AF02B7"/>
    <w:rsid w:val="00B154C0"/>
    <w:rsid w:val="00BB0B92"/>
    <w:rsid w:val="00C25C58"/>
    <w:rsid w:val="00C34D47"/>
    <w:rsid w:val="00CA3992"/>
    <w:rsid w:val="00CB6087"/>
    <w:rsid w:val="00D00F98"/>
    <w:rsid w:val="00D16989"/>
    <w:rsid w:val="00DF2DAC"/>
    <w:rsid w:val="00E13DE2"/>
    <w:rsid w:val="00EC6BC0"/>
    <w:rsid w:val="00F41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96DF"/>
  <w15:chartTrackingRefBased/>
  <w15:docId w15:val="{13B0D4AA-FCB1-4162-A58C-74F84B71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53384"/>
    <w:pPr>
      <w:spacing w:after="0" w:line="240" w:lineRule="auto"/>
    </w:pPr>
    <w:rPr>
      <w:sz w:val="20"/>
      <w:szCs w:val="20"/>
    </w:rPr>
  </w:style>
  <w:style w:type="character" w:customStyle="1" w:styleId="a4">
    <w:name w:val="טקסט הערת שוליים תו"/>
    <w:basedOn w:val="a0"/>
    <w:link w:val="a3"/>
    <w:uiPriority w:val="99"/>
    <w:semiHidden/>
    <w:rsid w:val="00453384"/>
    <w:rPr>
      <w:sz w:val="20"/>
      <w:szCs w:val="20"/>
    </w:rPr>
  </w:style>
  <w:style w:type="character" w:styleId="a5">
    <w:name w:val="footnote reference"/>
    <w:basedOn w:val="a0"/>
    <w:uiPriority w:val="99"/>
    <w:semiHidden/>
    <w:unhideWhenUsed/>
    <w:rsid w:val="00453384"/>
    <w:rPr>
      <w:vertAlign w:val="superscript"/>
    </w:rPr>
  </w:style>
  <w:style w:type="table" w:styleId="a6">
    <w:name w:val="Table Grid"/>
    <w:basedOn w:val="a1"/>
    <w:uiPriority w:val="39"/>
    <w:rsid w:val="00215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EC6BC0"/>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EC6BC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3</Pages>
  <Words>784</Words>
  <Characters>3922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19</cp:revision>
  <cp:lastPrinted>2021-04-21T09:35:00Z</cp:lastPrinted>
  <dcterms:created xsi:type="dcterms:W3CDTF">2021-04-20T08:27:00Z</dcterms:created>
  <dcterms:modified xsi:type="dcterms:W3CDTF">2021-05-31T06:52:00Z</dcterms:modified>
</cp:coreProperties>
</file>