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F5" w:rsidRDefault="00DB49F5" w:rsidP="00DB49F5">
      <w:pPr>
        <w:rPr>
          <w:rFonts w:hint="cs"/>
          <w:rtl/>
        </w:rPr>
      </w:pPr>
      <w:r>
        <w:rPr>
          <w:rFonts w:hint="cs"/>
          <w:rtl/>
        </w:rPr>
        <w:t>בעזרת השם יתברך</w:t>
      </w:r>
    </w:p>
    <w:p w:rsidR="00DB49F5" w:rsidRPr="008E0151" w:rsidRDefault="00DB49F5" w:rsidP="00DB49F5">
      <w:pPr>
        <w:jc w:val="center"/>
        <w:rPr>
          <w:rFonts w:hint="cs"/>
          <w:b/>
          <w:bCs/>
          <w:rtl/>
        </w:rPr>
      </w:pPr>
      <w:r w:rsidRPr="008E0151">
        <w:rPr>
          <w:rFonts w:hint="cs"/>
          <w:b/>
          <w:bCs/>
          <w:rtl/>
        </w:rPr>
        <w:t xml:space="preserve">כמה הערות ומ"מ </w:t>
      </w:r>
      <w:proofErr w:type="spellStart"/>
      <w:r w:rsidRPr="008E0151">
        <w:rPr>
          <w:rFonts w:hint="cs"/>
          <w:b/>
          <w:bCs/>
          <w:rtl/>
        </w:rPr>
        <w:t>בסוגיא</w:t>
      </w:r>
      <w:proofErr w:type="spellEnd"/>
    </w:p>
    <w:p w:rsidR="00DB49F5" w:rsidRDefault="00DB49F5" w:rsidP="00DB49F5">
      <w:pPr>
        <w:rPr>
          <w:rFonts w:hint="cs"/>
          <w:b/>
          <w:bCs/>
          <w:rtl/>
        </w:rPr>
      </w:pPr>
      <w:r>
        <w:rPr>
          <w:rFonts w:hint="cs"/>
          <w:rtl/>
        </w:rPr>
        <w:t xml:space="preserve">א, </w:t>
      </w:r>
      <w:r>
        <w:rPr>
          <w:rFonts w:hint="cs"/>
          <w:b/>
          <w:bCs/>
          <w:rtl/>
        </w:rPr>
        <w:t>בישול הכחל בפי שישים</w:t>
      </w:r>
    </w:p>
    <w:p w:rsidR="00DB49F5" w:rsidRPr="008E0151" w:rsidRDefault="00DB49F5" w:rsidP="00DB49F5">
      <w:pPr>
        <w:rPr>
          <w:rFonts w:hint="cs"/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התוס</w:t>
      </w:r>
      <w:proofErr w:type="spellEnd"/>
      <w:r>
        <w:rPr>
          <w:rFonts w:hint="cs"/>
          <w:rtl/>
        </w:rPr>
        <w:t xml:space="preserve">' (ד"ה אינו) שגם לרש"י שאוסר אף בדיעבד בבישול ללא קריעה, אם יש בקדירה (ללא בשר) פי שישים מהכחל, הרי זה מותר. וכתבו שכך אפשר להעמיד את הברייתא של "כחל שבשלו מותר" </w:t>
      </w:r>
      <w:r>
        <w:rPr>
          <w:rtl/>
        </w:rPr>
        <w:t>–</w:t>
      </w:r>
      <w:r>
        <w:rPr>
          <w:rFonts w:hint="cs"/>
          <w:rtl/>
        </w:rPr>
        <w:t xml:space="preserve"> כשיש פי שישים מהכחל. ועי' </w:t>
      </w:r>
      <w:proofErr w:type="spellStart"/>
      <w:r w:rsidRPr="002E2E4C">
        <w:rPr>
          <w:rFonts w:hint="cs"/>
          <w:b/>
          <w:bCs/>
          <w:rtl/>
        </w:rPr>
        <w:t>מהר"ם</w:t>
      </w:r>
      <w:proofErr w:type="spellEnd"/>
      <w:r>
        <w:rPr>
          <w:rFonts w:hint="cs"/>
          <w:rtl/>
        </w:rPr>
        <w:t xml:space="preserve"> שהקשה, אם כן היאך יש ראיה מהברייתא נגד </w:t>
      </w:r>
      <w:proofErr w:type="spellStart"/>
      <w:r>
        <w:rPr>
          <w:rFonts w:hint="cs"/>
          <w:rtl/>
        </w:rPr>
        <w:t>הל"ב</w:t>
      </w:r>
      <w:proofErr w:type="spellEnd"/>
      <w:r>
        <w:rPr>
          <w:rFonts w:hint="cs"/>
          <w:rtl/>
        </w:rPr>
        <w:t xml:space="preserve">. עיי"ש. וראה </w:t>
      </w:r>
      <w:proofErr w:type="spellStart"/>
      <w:r>
        <w:rPr>
          <w:rFonts w:hint="cs"/>
          <w:b/>
          <w:bCs/>
          <w:rtl/>
        </w:rPr>
        <w:t>ב</w:t>
      </w:r>
      <w:r w:rsidRPr="002E2E4C">
        <w:rPr>
          <w:rFonts w:hint="cs"/>
          <w:b/>
          <w:bCs/>
          <w:rtl/>
        </w:rPr>
        <w:t>רש"ש</w:t>
      </w:r>
      <w:proofErr w:type="spellEnd"/>
      <w:r>
        <w:rPr>
          <w:rFonts w:hint="cs"/>
          <w:rtl/>
        </w:rPr>
        <w:t xml:space="preserve"> שחלק על כל </w:t>
      </w:r>
      <w:proofErr w:type="spellStart"/>
      <w:r>
        <w:rPr>
          <w:rFonts w:hint="cs"/>
          <w:rtl/>
        </w:rPr>
        <w:t>הקושיא</w:t>
      </w:r>
      <w:proofErr w:type="spellEnd"/>
      <w:r w:rsidR="0069133E">
        <w:rPr>
          <w:rStyle w:val="a6"/>
          <w:rtl/>
        </w:rPr>
        <w:footnoteReference w:id="1"/>
      </w:r>
      <w:r>
        <w:rPr>
          <w:rFonts w:hint="cs"/>
          <w:rtl/>
        </w:rPr>
        <w:t xml:space="preserve">.  [ועי' </w:t>
      </w:r>
      <w:proofErr w:type="spellStart"/>
      <w:r>
        <w:rPr>
          <w:rFonts w:hint="cs"/>
          <w:rtl/>
        </w:rPr>
        <w:t>ברש"ש</w:t>
      </w:r>
      <w:proofErr w:type="spellEnd"/>
      <w:r>
        <w:rPr>
          <w:rFonts w:hint="cs"/>
          <w:rtl/>
        </w:rPr>
        <w:t xml:space="preserve">  שם שנשאר </w:t>
      </w:r>
      <w:proofErr w:type="spellStart"/>
      <w:r>
        <w:rPr>
          <w:rFonts w:hint="cs"/>
          <w:rtl/>
        </w:rPr>
        <w:t>בצ"ע</w:t>
      </w:r>
      <w:proofErr w:type="spellEnd"/>
      <w:r>
        <w:rPr>
          <w:rFonts w:hint="cs"/>
          <w:rtl/>
        </w:rPr>
        <w:t xml:space="preserve"> מה </w:t>
      </w:r>
      <w:proofErr w:type="spellStart"/>
      <w:r>
        <w:rPr>
          <w:rFonts w:hint="cs"/>
          <w:rtl/>
        </w:rPr>
        <w:t>הקושיא</w:t>
      </w:r>
      <w:proofErr w:type="spellEnd"/>
      <w:r>
        <w:rPr>
          <w:rFonts w:hint="cs"/>
          <w:rtl/>
        </w:rPr>
        <w:t xml:space="preserve"> מהברייתא הנ"ל, על ר"נ </w:t>
      </w:r>
      <w:proofErr w:type="spellStart"/>
      <w:r>
        <w:rPr>
          <w:rFonts w:hint="cs"/>
          <w:rtl/>
        </w:rPr>
        <w:t>דשרי</w:t>
      </w:r>
      <w:proofErr w:type="spellEnd"/>
      <w:r>
        <w:rPr>
          <w:rFonts w:hint="cs"/>
          <w:rtl/>
        </w:rPr>
        <w:t xml:space="preserve"> בצליה לכתחילה, הא כאן ודאי יהיה אסור לכתחילה מדין ביטול איסור. ויש לפלפל בקושייתו, </w:t>
      </w:r>
      <w:r>
        <w:rPr>
          <w:rFonts w:hint="cs"/>
          <w:b/>
          <w:bCs/>
          <w:rtl/>
        </w:rPr>
        <w:t>ודוק.</w:t>
      </w:r>
      <w:r>
        <w:rPr>
          <w:rFonts w:hint="cs"/>
          <w:rtl/>
        </w:rPr>
        <w:t>]</w:t>
      </w: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Fonts w:hint="cs"/>
          <w:b/>
          <w:bCs/>
          <w:rtl/>
        </w:rPr>
      </w:pPr>
      <w:r>
        <w:rPr>
          <w:rFonts w:hint="cs"/>
          <w:rtl/>
        </w:rPr>
        <w:t xml:space="preserve">ב, </w:t>
      </w:r>
      <w:r>
        <w:rPr>
          <w:rFonts w:hint="cs"/>
          <w:b/>
          <w:bCs/>
          <w:rtl/>
        </w:rPr>
        <w:t>בישול הכחל בבשר</w:t>
      </w:r>
    </w:p>
    <w:p w:rsidR="00DB49F5" w:rsidRDefault="00DB49F5" w:rsidP="00DB49F5">
      <w:pPr>
        <w:rPr>
          <w:rFonts w:hint="cs"/>
          <w:rtl/>
        </w:rPr>
      </w:pPr>
      <w:r>
        <w:rPr>
          <w:rFonts w:hint="cs"/>
          <w:rtl/>
        </w:rPr>
        <w:t xml:space="preserve">מבואר </w:t>
      </w:r>
      <w:proofErr w:type="spellStart"/>
      <w:r>
        <w:rPr>
          <w:rFonts w:hint="cs"/>
          <w:rtl/>
        </w:rPr>
        <w:t>בסוגיא</w:t>
      </w:r>
      <w:proofErr w:type="spellEnd"/>
      <w:r>
        <w:rPr>
          <w:rFonts w:hint="cs"/>
          <w:rtl/>
        </w:rPr>
        <w:t xml:space="preserve"> בדף צ"ז: שכאשר מבשל הכחל עם בשר ללא קריעה, אף אם יש שישים בבשר כנגד הכחל, והבשר מותר, הכחל עצמו אסור אף בדיעבד. ויש לדון בחומרת איסור זו הן לרש"י והן </w:t>
      </w:r>
      <w:proofErr w:type="spellStart"/>
      <w:r>
        <w:rPr>
          <w:rFonts w:hint="cs"/>
          <w:rtl/>
        </w:rPr>
        <w:t>לתוס</w:t>
      </w:r>
      <w:proofErr w:type="spellEnd"/>
      <w:r>
        <w:rPr>
          <w:rFonts w:hint="cs"/>
          <w:rtl/>
        </w:rPr>
        <w:t>'.</w:t>
      </w:r>
    </w:p>
    <w:p w:rsidR="00DB49F5" w:rsidRDefault="00DB49F5" w:rsidP="00DB49F5">
      <w:pPr>
        <w:rPr>
          <w:rFonts w:hint="cs"/>
          <w:rtl/>
        </w:rPr>
      </w:pPr>
      <w:r>
        <w:rPr>
          <w:rFonts w:hint="cs"/>
          <w:rtl/>
        </w:rPr>
        <w:t xml:space="preserve">לרש"י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דהא</w:t>
      </w:r>
      <w:proofErr w:type="spellEnd"/>
      <w:r>
        <w:rPr>
          <w:rFonts w:hint="cs"/>
          <w:rtl/>
        </w:rPr>
        <w:t xml:space="preserve"> ייסד לן רש"י שהחלב כל עוד לא פירש מהכחל אין לו כלל דין חלב, וממילא צ"ע </w:t>
      </w:r>
      <w:proofErr w:type="spellStart"/>
      <w:r>
        <w:rPr>
          <w:rFonts w:hint="cs"/>
          <w:rtl/>
        </w:rPr>
        <w:t>אמאי</w:t>
      </w:r>
      <w:proofErr w:type="spellEnd"/>
      <w:r>
        <w:rPr>
          <w:rFonts w:hint="cs"/>
          <w:rtl/>
        </w:rPr>
        <w:t xml:space="preserve"> החמירו כאן לאסור. הלא החלב שיצא התבטל מיד, וכל שיש כאן זה רק את החלב שנשאר בפנים שקבל טעם בשר, וצ"ע</w:t>
      </w:r>
      <w:r>
        <w:rPr>
          <w:rStyle w:val="a6"/>
          <w:rtl/>
        </w:rPr>
        <w:footnoteReference w:id="2"/>
      </w:r>
      <w:r>
        <w:rPr>
          <w:rFonts w:hint="cs"/>
          <w:rtl/>
        </w:rPr>
        <w:t xml:space="preserve">.  </w:t>
      </w:r>
      <w:proofErr w:type="spellStart"/>
      <w:r>
        <w:rPr>
          <w:rFonts w:hint="cs"/>
          <w:rtl/>
        </w:rPr>
        <w:t>ולר"ת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דהא</w:t>
      </w:r>
      <w:proofErr w:type="spellEnd"/>
      <w:r>
        <w:rPr>
          <w:rFonts w:hint="cs"/>
          <w:rtl/>
        </w:rPr>
        <w:t xml:space="preserve"> הסביר ר"ת שסיבת </w:t>
      </w:r>
      <w:proofErr w:type="spellStart"/>
      <w:r>
        <w:rPr>
          <w:rFonts w:hint="cs"/>
          <w:rtl/>
        </w:rPr>
        <w:t>החומרא</w:t>
      </w:r>
      <w:proofErr w:type="spellEnd"/>
      <w:r>
        <w:rPr>
          <w:rFonts w:hint="cs"/>
          <w:rtl/>
        </w:rPr>
        <w:t xml:space="preserve"> בבישול עם בשר היא משום שהבשר האחר משתנה טעמו. וזה אינו שייך </w:t>
      </w:r>
      <w:proofErr w:type="spellStart"/>
      <w:r>
        <w:rPr>
          <w:rFonts w:hint="cs"/>
          <w:rtl/>
        </w:rPr>
        <w:t>בכה"ג</w:t>
      </w:r>
      <w:proofErr w:type="spellEnd"/>
      <w:r>
        <w:rPr>
          <w:rFonts w:hint="cs"/>
          <w:rtl/>
        </w:rPr>
        <w:t xml:space="preserve"> שהבשר עצמו מותר ורק הכחל אסור, </w:t>
      </w:r>
      <w:proofErr w:type="spellStart"/>
      <w:r>
        <w:rPr>
          <w:rFonts w:hint="cs"/>
          <w:rtl/>
        </w:rPr>
        <w:t>דהכחל</w:t>
      </w:r>
      <w:proofErr w:type="spellEnd"/>
      <w:r>
        <w:rPr>
          <w:rFonts w:hint="cs"/>
          <w:rtl/>
        </w:rPr>
        <w:t xml:space="preserve"> בעצמו לא השתנה טעמו. ועל כן הגיה </w:t>
      </w:r>
      <w:proofErr w:type="spellStart"/>
      <w:r w:rsidRPr="002E2E4C">
        <w:rPr>
          <w:rFonts w:hint="cs"/>
          <w:b/>
          <w:bCs/>
          <w:rtl/>
        </w:rPr>
        <w:t>המהר"ם</w:t>
      </w:r>
      <w:proofErr w:type="spellEnd"/>
      <w:r>
        <w:rPr>
          <w:rFonts w:hint="cs"/>
          <w:rtl/>
        </w:rPr>
        <w:t xml:space="preserve"> בדברי </w:t>
      </w:r>
      <w:proofErr w:type="spellStart"/>
      <w:r>
        <w:rPr>
          <w:rFonts w:hint="cs"/>
          <w:rtl/>
        </w:rPr>
        <w:t>התוס</w:t>
      </w:r>
      <w:proofErr w:type="spellEnd"/>
      <w:r>
        <w:rPr>
          <w:rFonts w:hint="cs"/>
          <w:rtl/>
        </w:rPr>
        <w:t xml:space="preserve">' </w:t>
      </w:r>
      <w:proofErr w:type="spellStart"/>
      <w:r>
        <w:rPr>
          <w:rFonts w:hint="cs"/>
          <w:rtl/>
        </w:rPr>
        <w:t>שהחסרון</w:t>
      </w:r>
      <w:proofErr w:type="spellEnd"/>
      <w:r>
        <w:rPr>
          <w:rFonts w:hint="cs"/>
          <w:rtl/>
        </w:rPr>
        <w:t xml:space="preserve"> הוא מה שהבשר נותן טעם בחלב. ועדיין מחודש </w:t>
      </w:r>
      <w:proofErr w:type="spellStart"/>
      <w:r>
        <w:rPr>
          <w:rFonts w:hint="cs"/>
          <w:rtl/>
        </w:rPr>
        <w:t>דלכאורה</w:t>
      </w:r>
      <w:proofErr w:type="spellEnd"/>
      <w:r>
        <w:rPr>
          <w:rFonts w:hint="cs"/>
          <w:rtl/>
        </w:rPr>
        <w:t xml:space="preserve"> סו"ס טעם החלב אינו משתנה, דגם קודם לכן היה בו טעם בשר מחמת הכחל עצמו. (והביאו ב"עוז והדר" שבספר </w:t>
      </w:r>
      <w:proofErr w:type="spellStart"/>
      <w:r>
        <w:rPr>
          <w:rFonts w:hint="cs"/>
          <w:rtl/>
        </w:rPr>
        <w:t>באה"מ</w:t>
      </w:r>
      <w:proofErr w:type="spellEnd"/>
      <w:r>
        <w:rPr>
          <w:rFonts w:hint="cs"/>
          <w:rtl/>
        </w:rPr>
        <w:t xml:space="preserve"> יישב </w:t>
      </w:r>
      <w:proofErr w:type="spellStart"/>
      <w:r>
        <w:rPr>
          <w:rFonts w:hint="cs"/>
          <w:rtl/>
        </w:rPr>
        <w:t>גירסא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דידן</w:t>
      </w:r>
      <w:proofErr w:type="spellEnd"/>
      <w:r>
        <w:rPr>
          <w:rFonts w:hint="cs"/>
          <w:rtl/>
        </w:rPr>
        <w:t>, ולא היה לפני.)</w:t>
      </w: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Fonts w:hint="cs"/>
          <w:b/>
          <w:bCs/>
          <w:rtl/>
        </w:rPr>
      </w:pPr>
      <w:r>
        <w:rPr>
          <w:rFonts w:hint="cs"/>
          <w:rtl/>
        </w:rPr>
        <w:t xml:space="preserve">ג, </w:t>
      </w:r>
      <w:r>
        <w:rPr>
          <w:rFonts w:hint="cs"/>
          <w:b/>
          <w:bCs/>
          <w:rtl/>
        </w:rPr>
        <w:t xml:space="preserve">ביאור </w:t>
      </w:r>
      <w:proofErr w:type="spellStart"/>
      <w:r>
        <w:rPr>
          <w:rFonts w:hint="cs"/>
          <w:b/>
          <w:bCs/>
          <w:rtl/>
        </w:rPr>
        <w:t>הל"ב</w:t>
      </w:r>
      <w:proofErr w:type="spellEnd"/>
      <w:r>
        <w:rPr>
          <w:rFonts w:hint="cs"/>
          <w:b/>
          <w:bCs/>
          <w:rtl/>
        </w:rPr>
        <w:t xml:space="preserve"> אליבא </w:t>
      </w:r>
      <w:proofErr w:type="spellStart"/>
      <w:r>
        <w:rPr>
          <w:rFonts w:hint="cs"/>
          <w:b/>
          <w:bCs/>
          <w:rtl/>
        </w:rPr>
        <w:t>דר"ת</w:t>
      </w:r>
      <w:proofErr w:type="spellEnd"/>
    </w:p>
    <w:p w:rsidR="00DB49F5" w:rsidRPr="00B505F7" w:rsidRDefault="00DB49F5" w:rsidP="00DB49F5">
      <w:pPr>
        <w:rPr>
          <w:rtl/>
        </w:rPr>
      </w:pPr>
      <w:r>
        <w:rPr>
          <w:rFonts w:hint="cs"/>
          <w:rtl/>
        </w:rPr>
        <w:t xml:space="preserve">ביאור דעת </w:t>
      </w:r>
      <w:proofErr w:type="spellStart"/>
      <w:r>
        <w:rPr>
          <w:rFonts w:hint="cs"/>
          <w:rtl/>
        </w:rPr>
        <w:t>הל"ב</w:t>
      </w:r>
      <w:proofErr w:type="spellEnd"/>
      <w:r>
        <w:rPr>
          <w:rFonts w:hint="cs"/>
          <w:rtl/>
        </w:rPr>
        <w:t xml:space="preserve"> אליבא </w:t>
      </w:r>
      <w:proofErr w:type="spellStart"/>
      <w:r>
        <w:rPr>
          <w:rFonts w:hint="cs"/>
          <w:rtl/>
        </w:rPr>
        <w:t>דר"ת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וההכרחים</w:t>
      </w:r>
      <w:proofErr w:type="spellEnd"/>
      <w:r>
        <w:rPr>
          <w:rFonts w:hint="cs"/>
          <w:rtl/>
        </w:rPr>
        <w:t xml:space="preserve"> לכך מתוך </w:t>
      </w:r>
      <w:proofErr w:type="spellStart"/>
      <w:r>
        <w:rPr>
          <w:rFonts w:hint="cs"/>
          <w:rtl/>
        </w:rPr>
        <w:t>הסוגיא</w:t>
      </w:r>
      <w:proofErr w:type="spellEnd"/>
      <w:r>
        <w:rPr>
          <w:rFonts w:hint="cs"/>
          <w:rtl/>
        </w:rPr>
        <w:t xml:space="preserve">, קצת סתומים בדברי </w:t>
      </w:r>
      <w:proofErr w:type="spellStart"/>
      <w:r>
        <w:rPr>
          <w:rFonts w:hint="cs"/>
          <w:rtl/>
        </w:rPr>
        <w:t>התוס</w:t>
      </w:r>
      <w:proofErr w:type="spellEnd"/>
      <w:r>
        <w:rPr>
          <w:rFonts w:hint="cs"/>
          <w:rtl/>
        </w:rPr>
        <w:t>' (</w:t>
      </w:r>
      <w:proofErr w:type="spellStart"/>
      <w:r>
        <w:rPr>
          <w:rFonts w:hint="cs"/>
          <w:rtl/>
        </w:rPr>
        <w:t>סוד"ה</w:t>
      </w:r>
      <w:proofErr w:type="spellEnd"/>
      <w:r>
        <w:rPr>
          <w:rFonts w:hint="cs"/>
          <w:rtl/>
        </w:rPr>
        <w:t xml:space="preserve"> ההוא לקדירה). ועי' בזה </w:t>
      </w:r>
      <w:proofErr w:type="spellStart"/>
      <w:r w:rsidRPr="002E2E4C">
        <w:rPr>
          <w:rFonts w:hint="cs"/>
          <w:b/>
          <w:bCs/>
          <w:rtl/>
        </w:rPr>
        <w:t>במהרש"א</w:t>
      </w:r>
      <w:proofErr w:type="spellEnd"/>
      <w:r>
        <w:rPr>
          <w:rFonts w:hint="cs"/>
          <w:rtl/>
        </w:rPr>
        <w:t xml:space="preserve"> (שלמד שאליבא </w:t>
      </w:r>
      <w:proofErr w:type="spellStart"/>
      <w:r>
        <w:rPr>
          <w:rFonts w:hint="cs"/>
          <w:rtl/>
        </w:rPr>
        <w:t>דהרא"ש</w:t>
      </w:r>
      <w:proofErr w:type="spellEnd"/>
      <w:r>
        <w:rPr>
          <w:rFonts w:hint="cs"/>
          <w:rtl/>
        </w:rPr>
        <w:t xml:space="preserve"> יש ביאור אחר </w:t>
      </w:r>
      <w:proofErr w:type="spellStart"/>
      <w:r>
        <w:rPr>
          <w:rFonts w:hint="cs"/>
          <w:rtl/>
        </w:rPr>
        <w:t>לל"ב</w:t>
      </w:r>
      <w:proofErr w:type="spellEnd"/>
      <w:r>
        <w:rPr>
          <w:rFonts w:hint="cs"/>
          <w:rtl/>
        </w:rPr>
        <w:t xml:space="preserve"> בדעת ר"ת) </w:t>
      </w:r>
      <w:r w:rsidRPr="002E2E4C">
        <w:rPr>
          <w:rFonts w:hint="cs"/>
          <w:b/>
          <w:bCs/>
          <w:rtl/>
        </w:rPr>
        <w:t xml:space="preserve">ובנימוקי </w:t>
      </w:r>
      <w:proofErr w:type="spellStart"/>
      <w:r w:rsidRPr="002E2E4C">
        <w:rPr>
          <w:rFonts w:hint="cs"/>
          <w:b/>
          <w:bCs/>
          <w:rtl/>
        </w:rPr>
        <w:t>הגרי"ב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המהרש"א</w:t>
      </w:r>
      <w:proofErr w:type="spellEnd"/>
      <w:r>
        <w:rPr>
          <w:rFonts w:hint="cs"/>
          <w:rtl/>
        </w:rPr>
        <w:t xml:space="preserve"> (שמתוך דבריו עולה ביאור העניין).</w:t>
      </w:r>
    </w:p>
    <w:tbl>
      <w:tblPr>
        <w:tblStyle w:val="a3"/>
        <w:tblpPr w:leftFromText="180" w:rightFromText="180" w:vertAnchor="text" w:horzAnchor="margin" w:tblpXSpec="center" w:tblpY="138"/>
        <w:bidiVisual/>
        <w:tblW w:w="0" w:type="auto"/>
        <w:tblLook w:val="04A0" w:firstRow="1" w:lastRow="0" w:firstColumn="1" w:lastColumn="0" w:noHBand="0" w:noVBand="1"/>
      </w:tblPr>
      <w:tblGrid>
        <w:gridCol w:w="1185"/>
        <w:gridCol w:w="1729"/>
        <w:gridCol w:w="1843"/>
        <w:gridCol w:w="1692"/>
      </w:tblGrid>
      <w:tr w:rsidR="00DB49F5" w:rsidTr="00E95CF9">
        <w:tc>
          <w:tcPr>
            <w:tcW w:w="1185" w:type="dxa"/>
          </w:tcPr>
          <w:p w:rsidR="00DB49F5" w:rsidRPr="0084588D" w:rsidRDefault="00DB49F5" w:rsidP="00E95CF9">
            <w:pPr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9" w:type="dxa"/>
          </w:tcPr>
          <w:p w:rsidR="00DB49F5" w:rsidRPr="0084588D" w:rsidRDefault="00DB49F5" w:rsidP="00E95CF9">
            <w:pPr>
              <w:rPr>
                <w:b/>
                <w:bCs/>
                <w:sz w:val="18"/>
                <w:szCs w:val="18"/>
                <w:rtl/>
              </w:rPr>
            </w:pPr>
            <w:r w:rsidRPr="0084588D">
              <w:rPr>
                <w:rFonts w:hint="cs"/>
                <w:b/>
                <w:bCs/>
                <w:sz w:val="18"/>
                <w:szCs w:val="18"/>
                <w:rtl/>
              </w:rPr>
              <w:t>בישול בבש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ר </w:t>
            </w:r>
          </w:p>
        </w:tc>
        <w:tc>
          <w:tcPr>
            <w:tcW w:w="1843" w:type="dxa"/>
          </w:tcPr>
          <w:p w:rsidR="00DB49F5" w:rsidRPr="0084588D" w:rsidRDefault="00DB49F5" w:rsidP="00E95CF9">
            <w:pPr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בישול</w:t>
            </w:r>
          </w:p>
        </w:tc>
        <w:tc>
          <w:tcPr>
            <w:tcW w:w="1692" w:type="dxa"/>
          </w:tcPr>
          <w:p w:rsidR="00DB49F5" w:rsidRPr="0084588D" w:rsidRDefault="00DB49F5" w:rsidP="00E95CF9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צליה</w:t>
            </w:r>
          </w:p>
        </w:tc>
      </w:tr>
      <w:tr w:rsidR="00DB49F5" w:rsidTr="00E95CF9">
        <w:tc>
          <w:tcPr>
            <w:tcW w:w="1185" w:type="dxa"/>
          </w:tcPr>
          <w:p w:rsidR="00DB49F5" w:rsidRPr="0084588D" w:rsidRDefault="00DB49F5" w:rsidP="00E95CF9">
            <w:pPr>
              <w:rPr>
                <w:b/>
                <w:bCs/>
                <w:sz w:val="18"/>
                <w:szCs w:val="18"/>
                <w:rtl/>
              </w:rPr>
            </w:pPr>
            <w:r w:rsidRPr="0084588D">
              <w:rPr>
                <w:rFonts w:hint="cs"/>
                <w:b/>
                <w:bCs/>
                <w:sz w:val="18"/>
                <w:szCs w:val="18"/>
                <w:rtl/>
              </w:rPr>
              <w:t>ללא קריעה</w:t>
            </w:r>
          </w:p>
        </w:tc>
        <w:tc>
          <w:tcPr>
            <w:tcW w:w="1729" w:type="dxa"/>
          </w:tcPr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רש"י: אסור בדיעבד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ר"ת: אסור בדיעבד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>: אסור בדיעבד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</w:tc>
        <w:tc>
          <w:tcPr>
            <w:tcW w:w="1843" w:type="dxa"/>
          </w:tcPr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רש"י: אסור בדיעבד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ר"ת: אסור לכתחילה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>: אסור לכתחילה</w:t>
            </w:r>
            <w:r>
              <w:rPr>
                <w:rFonts w:hint="cs"/>
                <w:sz w:val="18"/>
                <w:szCs w:val="18"/>
                <w:rtl/>
              </w:rPr>
              <w:t>,</w:t>
            </w:r>
            <w:r w:rsidRPr="00244449">
              <w:rPr>
                <w:rFonts w:hint="cs"/>
                <w:sz w:val="18"/>
                <w:szCs w:val="18"/>
                <w:rtl/>
              </w:rPr>
              <w:t xml:space="preserve"> ושתי לישנות אם מותר בדיעבד</w:t>
            </w:r>
            <w:r>
              <w:rPr>
                <w:rFonts w:hint="cs"/>
                <w:sz w:val="18"/>
                <w:szCs w:val="18"/>
                <w:rtl/>
              </w:rPr>
              <w:t>,</w:t>
            </w:r>
            <w:r w:rsidRPr="00244449">
              <w:rPr>
                <w:rFonts w:hint="cs"/>
                <w:sz w:val="18"/>
                <w:szCs w:val="18"/>
                <w:rtl/>
              </w:rPr>
              <w:t xml:space="preserve"> והלכה </w:t>
            </w: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דמותר</w:t>
            </w:r>
            <w:proofErr w:type="spellEnd"/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</w:p>
        </w:tc>
        <w:tc>
          <w:tcPr>
            <w:tcW w:w="1692" w:type="dxa"/>
          </w:tcPr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 xml:space="preserve">רש"י: לכתחילה אסור ובדיעבד מחלוקת שתי לישנות </w:t>
            </w: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דרב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 xml:space="preserve"> והלכה </w:t>
            </w: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דמותר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>.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ולר"נ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מותר לכתחילה.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ר"ת: אסור לכתחילה.</w:t>
            </w:r>
          </w:p>
          <w:p w:rsidR="00DB49F5" w:rsidRPr="00244449" w:rsidRDefault="00DB49F5" w:rsidP="00E95CF9">
            <w:pPr>
              <w:rPr>
                <w:rFonts w:hint="cs"/>
                <w:sz w:val="18"/>
                <w:szCs w:val="18"/>
                <w:rtl/>
              </w:rPr>
            </w:pP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>: מותר לכתחילה</w:t>
            </w:r>
          </w:p>
        </w:tc>
      </w:tr>
      <w:tr w:rsidR="00DB49F5" w:rsidTr="00E95CF9">
        <w:tc>
          <w:tcPr>
            <w:tcW w:w="1185" w:type="dxa"/>
          </w:tcPr>
          <w:p w:rsidR="00DB49F5" w:rsidRPr="0084588D" w:rsidRDefault="00DB49F5" w:rsidP="00E95CF9">
            <w:pPr>
              <w:rPr>
                <w:b/>
                <w:bCs/>
                <w:sz w:val="18"/>
                <w:szCs w:val="18"/>
                <w:rtl/>
              </w:rPr>
            </w:pPr>
            <w:r w:rsidRPr="0084588D">
              <w:rPr>
                <w:rFonts w:hint="cs"/>
                <w:b/>
                <w:bCs/>
                <w:sz w:val="18"/>
                <w:szCs w:val="18"/>
                <w:rtl/>
              </w:rPr>
              <w:t xml:space="preserve">קריעה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כל שהיא</w:t>
            </w:r>
          </w:p>
        </w:tc>
        <w:tc>
          <w:tcPr>
            <w:tcW w:w="1729" w:type="dxa"/>
          </w:tcPr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רש"י: אסור בדיעבד</w:t>
            </w:r>
          </w:p>
          <w:p w:rsidR="00DB49F5" w:rsidRDefault="00DB49F5" w:rsidP="00E95CF9">
            <w:pPr>
              <w:rPr>
                <w:rFonts w:hint="cs"/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 xml:space="preserve">ר"ת: מחלוקת </w:t>
            </w: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הלישנות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 xml:space="preserve"> והלכה שמותר בדיעבד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[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>: אסור בדיעבד.]</w:t>
            </w:r>
          </w:p>
        </w:tc>
        <w:tc>
          <w:tcPr>
            <w:tcW w:w="1843" w:type="dxa"/>
          </w:tcPr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רש"י: אסור בדיעבד.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 xml:space="preserve">ר"ת: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לל"ק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244449">
              <w:rPr>
                <w:rFonts w:hint="cs"/>
                <w:sz w:val="18"/>
                <w:szCs w:val="18"/>
                <w:rtl/>
              </w:rPr>
              <w:t>מותר לכתחילה.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לל"ב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אסור בדיעבד.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 xml:space="preserve">: אסור לכתחילה ושתי לישנות אם מותר בדיעבד והלכה </w:t>
            </w: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דמותר</w:t>
            </w:r>
            <w:proofErr w:type="spellEnd"/>
          </w:p>
        </w:tc>
        <w:tc>
          <w:tcPr>
            <w:tcW w:w="1692" w:type="dxa"/>
          </w:tcPr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רש"י: מותר לכתחילה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 xml:space="preserve">ר"ת: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לל"ק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244449">
              <w:rPr>
                <w:rFonts w:hint="cs"/>
                <w:sz w:val="18"/>
                <w:szCs w:val="18"/>
                <w:rtl/>
              </w:rPr>
              <w:t>מותר לכתחילה.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לל"ב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אסור בדיעבד.</w:t>
            </w:r>
          </w:p>
          <w:p w:rsidR="00DB49F5" w:rsidRPr="00244449" w:rsidRDefault="00DB49F5" w:rsidP="00E95CF9">
            <w:pPr>
              <w:rPr>
                <w:rFonts w:hint="cs"/>
                <w:sz w:val="18"/>
                <w:szCs w:val="18"/>
                <w:rtl/>
              </w:rPr>
            </w:pP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>: מותר לכתחילה</w:t>
            </w:r>
          </w:p>
        </w:tc>
      </w:tr>
      <w:tr w:rsidR="00DB49F5" w:rsidTr="00E95CF9">
        <w:tc>
          <w:tcPr>
            <w:tcW w:w="1185" w:type="dxa"/>
          </w:tcPr>
          <w:p w:rsidR="00DB49F5" w:rsidRPr="0084588D" w:rsidRDefault="00DB49F5" w:rsidP="00E95CF9">
            <w:pPr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שתי וערב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וטיחה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בכותל</w:t>
            </w:r>
          </w:p>
        </w:tc>
        <w:tc>
          <w:tcPr>
            <w:tcW w:w="1729" w:type="dxa"/>
          </w:tcPr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רש"י: אסור לכתחילה.</w:t>
            </w:r>
          </w:p>
          <w:p w:rsidR="00DB49F5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ר"ת: מותר לכתחילה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[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>: מותר לכתחילה.]</w:t>
            </w:r>
          </w:p>
        </w:tc>
        <w:tc>
          <w:tcPr>
            <w:tcW w:w="1843" w:type="dxa"/>
          </w:tcPr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רש"י: מותר לכתחילה.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ר"ת: מותר לכתחילה.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>: מותר לכתחילה</w:t>
            </w:r>
          </w:p>
        </w:tc>
        <w:tc>
          <w:tcPr>
            <w:tcW w:w="1692" w:type="dxa"/>
          </w:tcPr>
          <w:p w:rsidR="00DB49F5" w:rsidRPr="00244449" w:rsidRDefault="00DB49F5" w:rsidP="00E95CF9">
            <w:pPr>
              <w:rPr>
                <w:rFonts w:hint="cs"/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רש"י: מותר לכתחילה</w:t>
            </w:r>
          </w:p>
          <w:p w:rsidR="00DB49F5" w:rsidRPr="00244449" w:rsidRDefault="00DB49F5" w:rsidP="00E95CF9">
            <w:pPr>
              <w:rPr>
                <w:sz w:val="18"/>
                <w:szCs w:val="18"/>
                <w:rtl/>
              </w:rPr>
            </w:pPr>
            <w:r w:rsidRPr="00244449">
              <w:rPr>
                <w:rFonts w:hint="cs"/>
                <w:sz w:val="18"/>
                <w:szCs w:val="18"/>
                <w:rtl/>
              </w:rPr>
              <w:t>ר"ת: מותר לכתחילה</w:t>
            </w:r>
          </w:p>
          <w:p w:rsidR="00DB49F5" w:rsidRPr="00244449" w:rsidRDefault="00DB49F5" w:rsidP="00E95CF9">
            <w:pPr>
              <w:rPr>
                <w:rFonts w:hint="cs"/>
                <w:sz w:val="18"/>
                <w:szCs w:val="18"/>
                <w:rtl/>
              </w:rPr>
            </w:pPr>
            <w:proofErr w:type="spellStart"/>
            <w:r w:rsidRPr="00244449">
              <w:rPr>
                <w:rFonts w:hint="cs"/>
                <w:sz w:val="18"/>
                <w:szCs w:val="18"/>
                <w:rtl/>
              </w:rPr>
              <w:t>רי"ף</w:t>
            </w:r>
            <w:proofErr w:type="spellEnd"/>
            <w:r w:rsidRPr="00244449">
              <w:rPr>
                <w:rFonts w:hint="cs"/>
                <w:sz w:val="18"/>
                <w:szCs w:val="18"/>
                <w:rtl/>
              </w:rPr>
              <w:t>: מותר לכתחילה.</w:t>
            </w:r>
          </w:p>
        </w:tc>
      </w:tr>
    </w:tbl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tl/>
        </w:rPr>
      </w:pPr>
    </w:p>
    <w:p w:rsidR="00DB49F5" w:rsidRDefault="00DB49F5" w:rsidP="00DB49F5">
      <w:pPr>
        <w:rPr>
          <w:rFonts w:hint="cs"/>
          <w:rtl/>
        </w:rPr>
      </w:pPr>
    </w:p>
    <w:p w:rsidR="006F5376" w:rsidRDefault="006F5376" w:rsidP="006F5376">
      <w:pPr>
        <w:rPr>
          <w:rFonts w:hint="cs"/>
          <w:rtl/>
        </w:rPr>
      </w:pPr>
      <w:r>
        <w:rPr>
          <w:rFonts w:hint="cs"/>
          <w:rtl/>
        </w:rPr>
        <w:t xml:space="preserve">בעזרת השם יתברך                                                            </w:t>
      </w:r>
      <w:r w:rsidRPr="00B4272E">
        <w:rPr>
          <w:rFonts w:hint="cs"/>
          <w:b/>
          <w:bCs/>
          <w:rtl/>
        </w:rPr>
        <w:t>"ערב ראש חודש סיון"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התש"פ</w:t>
      </w:r>
      <w:proofErr w:type="spellEnd"/>
    </w:p>
    <w:p w:rsidR="006F5376" w:rsidRDefault="006F5376" w:rsidP="006F5376">
      <w:pPr>
        <w:jc w:val="center"/>
        <w:rPr>
          <w:b/>
          <w:bCs/>
          <w:rtl/>
        </w:rPr>
      </w:pPr>
    </w:p>
    <w:p w:rsidR="006F5376" w:rsidRDefault="006F5376" w:rsidP="00C60941">
      <w:pPr>
        <w:jc w:val="center"/>
        <w:rPr>
          <w:b/>
          <w:bCs/>
          <w:rtl/>
        </w:rPr>
      </w:pPr>
      <w:bookmarkStart w:id="0" w:name="_GoBack"/>
      <w:bookmarkEnd w:id="0"/>
      <w:r>
        <w:rPr>
          <w:rFonts w:hint="cs"/>
          <w:b/>
          <w:bCs/>
          <w:rtl/>
        </w:rPr>
        <w:t xml:space="preserve">קצת הערות ומראי מקומות </w:t>
      </w:r>
      <w:proofErr w:type="spellStart"/>
      <w:r>
        <w:rPr>
          <w:rFonts w:hint="cs"/>
          <w:b/>
          <w:bCs/>
          <w:rtl/>
        </w:rPr>
        <w:t>לסוגיא</w:t>
      </w:r>
      <w:proofErr w:type="spellEnd"/>
      <w:r>
        <w:rPr>
          <w:rFonts w:hint="cs"/>
          <w:b/>
          <w:bCs/>
          <w:rtl/>
        </w:rPr>
        <w:t xml:space="preserve"> בדף צ"ז</w:t>
      </w:r>
    </w:p>
    <w:p w:rsidR="006F5376" w:rsidRDefault="006F5376" w:rsidP="006F5376">
      <w:pPr>
        <w:rPr>
          <w:rtl/>
        </w:rPr>
      </w:pPr>
      <w:r w:rsidRPr="0042039D">
        <w:rPr>
          <w:rFonts w:hint="cs"/>
          <w:b/>
          <w:bCs/>
          <w:sz w:val="24"/>
          <w:szCs w:val="24"/>
          <w:rtl/>
        </w:rPr>
        <w:t>"כחל בשישים"</w:t>
      </w:r>
      <w:r w:rsidRPr="0042039D">
        <w:rPr>
          <w:rFonts w:hint="cs"/>
          <w:sz w:val="24"/>
          <w:szCs w:val="24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F5376" w:rsidRPr="0042039D" w:rsidRDefault="006F5376" w:rsidP="006F5376">
      <w:pPr>
        <w:rPr>
          <w:sz w:val="24"/>
          <w:szCs w:val="24"/>
          <w:rtl/>
        </w:rPr>
      </w:pPr>
      <w:r>
        <w:rPr>
          <w:rFonts w:hint="cs"/>
          <w:rtl/>
        </w:rPr>
        <w:t xml:space="preserve">עי' </w:t>
      </w:r>
      <w:proofErr w:type="spellStart"/>
      <w:r w:rsidRPr="0042039D">
        <w:rPr>
          <w:rFonts w:hint="cs"/>
          <w:b/>
          <w:bCs/>
          <w:rtl/>
        </w:rPr>
        <w:t>תוס</w:t>
      </w:r>
      <w:proofErr w:type="spellEnd"/>
      <w:r w:rsidRPr="0042039D">
        <w:rPr>
          <w:rFonts w:hint="cs"/>
          <w:b/>
          <w:bCs/>
          <w:rtl/>
        </w:rPr>
        <w:t>' צ"ט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דלשיטת</w:t>
      </w:r>
      <w:proofErr w:type="spellEnd"/>
      <w:r>
        <w:rPr>
          <w:rFonts w:hint="cs"/>
          <w:rtl/>
        </w:rPr>
        <w:t xml:space="preserve"> רש"י </w:t>
      </w:r>
      <w:proofErr w:type="spellStart"/>
      <w:r>
        <w:rPr>
          <w:rFonts w:hint="cs"/>
          <w:rtl/>
        </w:rPr>
        <w:t>מיירי</w:t>
      </w:r>
      <w:proofErr w:type="spellEnd"/>
      <w:r>
        <w:rPr>
          <w:rFonts w:hint="cs"/>
          <w:rtl/>
        </w:rPr>
        <w:t xml:space="preserve"> כאן אף בבישול הכחל לבד, ואילו </w:t>
      </w:r>
      <w:proofErr w:type="spellStart"/>
      <w:r>
        <w:rPr>
          <w:rFonts w:hint="cs"/>
          <w:rtl/>
        </w:rPr>
        <w:t>לתוס</w:t>
      </w:r>
      <w:proofErr w:type="spellEnd"/>
      <w:r>
        <w:rPr>
          <w:rFonts w:hint="cs"/>
          <w:rtl/>
        </w:rPr>
        <w:t>' (</w:t>
      </w:r>
      <w:proofErr w:type="spellStart"/>
      <w:r>
        <w:rPr>
          <w:rFonts w:hint="cs"/>
          <w:rtl/>
        </w:rPr>
        <w:t>וש"ר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מיירי</w:t>
      </w:r>
      <w:proofErr w:type="spellEnd"/>
      <w:r>
        <w:rPr>
          <w:rFonts w:hint="cs"/>
          <w:rtl/>
        </w:rPr>
        <w:t xml:space="preserve"> דווקא בבישול עם בשר. אבל בישול לבד מותר בדיעבד גם ללא ביטול ברוב.</w:t>
      </w:r>
    </w:p>
    <w:p w:rsidR="006F5376" w:rsidRDefault="006F5376" w:rsidP="006F5376">
      <w:pPr>
        <w:rPr>
          <w:b/>
          <w:bCs/>
          <w:rtl/>
        </w:rPr>
      </w:pPr>
    </w:p>
    <w:p w:rsidR="006F5376" w:rsidRDefault="006F5376" w:rsidP="006F5376">
      <w:pPr>
        <w:rPr>
          <w:rtl/>
        </w:rPr>
      </w:pPr>
      <w:r w:rsidRPr="0042039D">
        <w:rPr>
          <w:rFonts w:hint="cs"/>
          <w:b/>
          <w:bCs/>
          <w:sz w:val="24"/>
          <w:szCs w:val="24"/>
          <w:rtl/>
        </w:rPr>
        <w:t>"וכחל עצמו אסור"</w:t>
      </w:r>
      <w:r w:rsidRPr="0042039D">
        <w:rPr>
          <w:rFonts w:hint="cs"/>
          <w:sz w:val="24"/>
          <w:szCs w:val="24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F5376" w:rsidRDefault="006F5376" w:rsidP="006F5376">
      <w:pPr>
        <w:rPr>
          <w:rtl/>
        </w:rPr>
      </w:pPr>
      <w:r>
        <w:rPr>
          <w:rFonts w:hint="cs"/>
          <w:rtl/>
        </w:rPr>
        <w:t xml:space="preserve">וזה גם אליבא </w:t>
      </w:r>
      <w:proofErr w:type="spellStart"/>
      <w:r>
        <w:rPr>
          <w:rFonts w:hint="cs"/>
          <w:rtl/>
        </w:rPr>
        <w:t>דרש"י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מיירי</w:t>
      </w:r>
      <w:proofErr w:type="spellEnd"/>
      <w:r>
        <w:rPr>
          <w:rFonts w:hint="cs"/>
          <w:rtl/>
        </w:rPr>
        <w:t xml:space="preserve"> דווקא בבישול עם בשר, כמבואר </w:t>
      </w:r>
      <w:proofErr w:type="spellStart"/>
      <w:r>
        <w:rPr>
          <w:rFonts w:hint="cs"/>
          <w:rtl/>
        </w:rPr>
        <w:t>בתוס</w:t>
      </w:r>
      <w:proofErr w:type="spellEnd"/>
      <w:r>
        <w:rPr>
          <w:rFonts w:hint="cs"/>
          <w:rtl/>
        </w:rPr>
        <w:t>' שם.</w:t>
      </w:r>
    </w:p>
    <w:p w:rsidR="006F5376" w:rsidRDefault="006F5376" w:rsidP="006F5376">
      <w:pPr>
        <w:rPr>
          <w:rtl/>
        </w:rPr>
      </w:pPr>
    </w:p>
    <w:p w:rsidR="006F5376" w:rsidRDefault="006F5376" w:rsidP="006F5376">
      <w:pPr>
        <w:rPr>
          <w:rtl/>
        </w:rPr>
      </w:pPr>
      <w:r w:rsidRPr="0042039D">
        <w:rPr>
          <w:rFonts w:hint="cs"/>
          <w:b/>
          <w:bCs/>
          <w:sz w:val="24"/>
          <w:szCs w:val="24"/>
          <w:rtl/>
        </w:rPr>
        <w:t xml:space="preserve">"כחל מן </w:t>
      </w:r>
      <w:proofErr w:type="spellStart"/>
      <w:r w:rsidRPr="0042039D">
        <w:rPr>
          <w:rFonts w:hint="cs"/>
          <w:b/>
          <w:bCs/>
          <w:sz w:val="24"/>
          <w:szCs w:val="24"/>
          <w:rtl/>
        </w:rPr>
        <w:t>המנין</w:t>
      </w:r>
      <w:proofErr w:type="spellEnd"/>
      <w:r>
        <w:rPr>
          <w:rFonts w:hint="cs"/>
          <w:b/>
          <w:bCs/>
          <w:sz w:val="24"/>
          <w:szCs w:val="24"/>
          <w:rtl/>
        </w:rPr>
        <w:t>...</w:t>
      </w:r>
      <w:r w:rsidRPr="0042039D">
        <w:rPr>
          <w:rFonts w:hint="cs"/>
          <w:b/>
          <w:bCs/>
          <w:sz w:val="24"/>
          <w:szCs w:val="24"/>
          <w:rtl/>
        </w:rPr>
        <w:t xml:space="preserve"> וכחל עצמו אסור"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F5376" w:rsidRDefault="006F5376" w:rsidP="006F5376">
      <w:pPr>
        <w:rPr>
          <w:rtl/>
        </w:rPr>
      </w:pPr>
      <w:r>
        <w:rPr>
          <w:rFonts w:hint="cs"/>
          <w:rtl/>
        </w:rPr>
        <w:t xml:space="preserve">כאן עמדו הראשונים היאך ייתכן שהכחל עצמו אסור ובכל זאת מצטרף לביטול. ראה </w:t>
      </w:r>
      <w:proofErr w:type="spellStart"/>
      <w:r w:rsidRPr="0042039D">
        <w:rPr>
          <w:rFonts w:hint="cs"/>
          <w:b/>
          <w:bCs/>
          <w:rtl/>
        </w:rPr>
        <w:t>תוס</w:t>
      </w:r>
      <w:proofErr w:type="spellEnd"/>
      <w:r w:rsidRPr="0042039D">
        <w:rPr>
          <w:rFonts w:hint="cs"/>
          <w:b/>
          <w:bCs/>
          <w:rtl/>
        </w:rPr>
        <w:t xml:space="preserve">', </w:t>
      </w:r>
      <w:proofErr w:type="spellStart"/>
      <w:r w:rsidRPr="0042039D">
        <w:rPr>
          <w:rFonts w:hint="cs"/>
          <w:b/>
          <w:bCs/>
          <w:rtl/>
        </w:rPr>
        <w:t>רשב"א</w:t>
      </w:r>
      <w:proofErr w:type="spellEnd"/>
      <w:r w:rsidRPr="0042039D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בתורת הבית (ב"ד ש"א [מ"ז:, פסקאות מ"ו מ"ז])) </w:t>
      </w:r>
      <w:proofErr w:type="spellStart"/>
      <w:r w:rsidRPr="0042039D">
        <w:rPr>
          <w:rFonts w:hint="cs"/>
          <w:b/>
          <w:bCs/>
          <w:rtl/>
        </w:rPr>
        <w:t>ורא"ה</w:t>
      </w:r>
      <w:proofErr w:type="spellEnd"/>
      <w:r>
        <w:rPr>
          <w:rFonts w:hint="cs"/>
          <w:rtl/>
        </w:rPr>
        <w:t xml:space="preserve"> שם, </w:t>
      </w:r>
      <w:proofErr w:type="spellStart"/>
      <w:r w:rsidRPr="0042039D">
        <w:rPr>
          <w:rFonts w:hint="cs"/>
          <w:b/>
          <w:bCs/>
          <w:rtl/>
        </w:rPr>
        <w:t>ר"ן</w:t>
      </w:r>
      <w:proofErr w:type="spellEnd"/>
      <w:r>
        <w:rPr>
          <w:rFonts w:hint="cs"/>
          <w:rtl/>
        </w:rPr>
        <w:t xml:space="preserve"> כאן.  (ודברי </w:t>
      </w:r>
      <w:proofErr w:type="spellStart"/>
      <w:r w:rsidRPr="0042039D">
        <w:rPr>
          <w:rFonts w:hint="cs"/>
          <w:b/>
          <w:bCs/>
          <w:rtl/>
        </w:rPr>
        <w:t>הרש"י</w:t>
      </w:r>
      <w:proofErr w:type="spellEnd"/>
      <w:r>
        <w:rPr>
          <w:rFonts w:hint="cs"/>
          <w:rtl/>
        </w:rPr>
        <w:t xml:space="preserve"> סתומים קצת, ועי' מלא הרועים [</w:t>
      </w:r>
      <w:proofErr w:type="spellStart"/>
      <w:r>
        <w:rPr>
          <w:rFonts w:hint="cs"/>
          <w:rtl/>
        </w:rPr>
        <w:t>בילקו"מ</w:t>
      </w:r>
      <w:proofErr w:type="spellEnd"/>
      <w:r>
        <w:rPr>
          <w:rFonts w:hint="cs"/>
          <w:rtl/>
        </w:rPr>
        <w:t xml:space="preserve">] שכתב שדעת רש"י </w:t>
      </w:r>
      <w:proofErr w:type="spellStart"/>
      <w:r>
        <w:rPr>
          <w:rFonts w:hint="cs"/>
          <w:rtl/>
        </w:rPr>
        <w:t>כהתוס</w:t>
      </w:r>
      <w:proofErr w:type="spellEnd"/>
      <w:r>
        <w:rPr>
          <w:rFonts w:hint="cs"/>
          <w:rtl/>
        </w:rPr>
        <w:t>'.)</w:t>
      </w:r>
    </w:p>
    <w:p w:rsidR="006F5376" w:rsidRDefault="006F5376" w:rsidP="006F5376">
      <w:pPr>
        <w:rPr>
          <w:rtl/>
        </w:rPr>
      </w:pPr>
      <w:r w:rsidRPr="0042039D">
        <w:rPr>
          <w:rFonts w:hint="cs"/>
          <w:b/>
          <w:bCs/>
          <w:rtl/>
        </w:rPr>
        <w:t>והרמב"ם</w:t>
      </w:r>
      <w:r>
        <w:rPr>
          <w:rFonts w:hint="cs"/>
          <w:rtl/>
        </w:rPr>
        <w:t xml:space="preserve"> (הלכות מאכלות אסורות </w:t>
      </w:r>
      <w:proofErr w:type="spellStart"/>
      <w:r>
        <w:rPr>
          <w:rFonts w:hint="cs"/>
          <w:rtl/>
        </w:rPr>
        <w:t>פט"ו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הלי"ח</w:t>
      </w:r>
      <w:proofErr w:type="spellEnd"/>
      <w:r>
        <w:rPr>
          <w:rFonts w:hint="cs"/>
          <w:rtl/>
        </w:rPr>
        <w:t xml:space="preserve">) הוציא מכאן יסוד כללי לכל איסורים דרבנן </w:t>
      </w:r>
      <w:r>
        <w:rPr>
          <w:rtl/>
        </w:rPr>
        <w:t>–</w:t>
      </w:r>
      <w:r>
        <w:rPr>
          <w:rFonts w:hint="cs"/>
          <w:rtl/>
        </w:rPr>
        <w:t xml:space="preserve"> וכמו שהביאו הראשונים הנ"ל בשמו. </w:t>
      </w:r>
    </w:p>
    <w:p w:rsidR="006F5376" w:rsidRPr="005C6E7F" w:rsidRDefault="006F5376" w:rsidP="006F5376">
      <w:pPr>
        <w:rPr>
          <w:rtl/>
        </w:rPr>
      </w:pPr>
      <w:r>
        <w:rPr>
          <w:rFonts w:hint="cs"/>
          <w:rtl/>
        </w:rPr>
        <w:t xml:space="preserve">[ויש להעיר שאם לא </w:t>
      </w:r>
      <w:proofErr w:type="spellStart"/>
      <w:r>
        <w:rPr>
          <w:rFonts w:hint="cs"/>
          <w:rtl/>
        </w:rPr>
        <w:t>אמרינן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חנ"ן</w:t>
      </w:r>
      <w:proofErr w:type="spellEnd"/>
      <w:r>
        <w:rPr>
          <w:rFonts w:hint="cs"/>
          <w:rtl/>
        </w:rPr>
        <w:t xml:space="preserve"> בשאר איסורים, לכאורה קושיית הראשונים אינה קשה כלל </w:t>
      </w:r>
      <w:r>
        <w:rPr>
          <w:rtl/>
        </w:rPr>
        <w:t>–</w:t>
      </w:r>
      <w:r>
        <w:rPr>
          <w:rFonts w:hint="cs"/>
          <w:rtl/>
        </w:rPr>
        <w:t xml:space="preserve"> ראה </w:t>
      </w:r>
      <w:proofErr w:type="spellStart"/>
      <w:r w:rsidRPr="00504147">
        <w:rPr>
          <w:rFonts w:hint="cs"/>
          <w:b/>
          <w:bCs/>
          <w:rtl/>
        </w:rPr>
        <w:t>רעק"א</w:t>
      </w:r>
      <w:proofErr w:type="spellEnd"/>
      <w:r w:rsidRPr="00504147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השו"ע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הט"ז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סק"ד</w:t>
      </w:r>
      <w:proofErr w:type="spellEnd"/>
      <w:r>
        <w:rPr>
          <w:rFonts w:hint="cs"/>
          <w:rtl/>
        </w:rPr>
        <w:t xml:space="preserve">.] </w:t>
      </w:r>
    </w:p>
    <w:p w:rsidR="006F5376" w:rsidRDefault="006F5376" w:rsidP="006F5376">
      <w:pPr>
        <w:jc w:val="center"/>
        <w:rPr>
          <w:rtl/>
        </w:rPr>
      </w:pPr>
    </w:p>
    <w:p w:rsidR="006F5376" w:rsidRPr="00B4272E" w:rsidRDefault="006F5376" w:rsidP="006F5376">
      <w:pPr>
        <w:rPr>
          <w:b/>
          <w:bCs/>
          <w:sz w:val="24"/>
          <w:szCs w:val="24"/>
          <w:rtl/>
        </w:rPr>
      </w:pPr>
      <w:r w:rsidRPr="00504147">
        <w:rPr>
          <w:rFonts w:hint="cs"/>
          <w:b/>
          <w:bCs/>
          <w:sz w:val="24"/>
          <w:szCs w:val="24"/>
          <w:rtl/>
        </w:rPr>
        <w:t>"נפל לקדירה אחרת"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 </w:t>
      </w:r>
    </w:p>
    <w:p w:rsidR="006F5376" w:rsidRDefault="006F5376" w:rsidP="006F5376">
      <w:pPr>
        <w:rPr>
          <w:rtl/>
        </w:rPr>
      </w:pPr>
      <w:r>
        <w:rPr>
          <w:rFonts w:hint="cs"/>
          <w:rtl/>
        </w:rPr>
        <w:t xml:space="preserve">דנו הראשונים האם גם בקדירה האחרת מצטרף הכחל לשישים. ונידון זה מתחלק לשניים: א, כאשר בקדירה הראשונה היה שישים כנגד הכחל, ונאסר הכחל לבדו.   ב, כאשר בקדירה הראשונה לא היה שישים כנגד הכחל, ונאסרה הקדירה כולה.    ראה </w:t>
      </w:r>
      <w:proofErr w:type="spellStart"/>
      <w:r w:rsidRPr="00504147">
        <w:rPr>
          <w:rFonts w:hint="cs"/>
          <w:b/>
          <w:bCs/>
          <w:rtl/>
        </w:rPr>
        <w:t>רשב"א</w:t>
      </w:r>
      <w:proofErr w:type="spellEnd"/>
      <w:r w:rsidRPr="00504147">
        <w:rPr>
          <w:rFonts w:hint="cs"/>
          <w:b/>
          <w:bCs/>
          <w:rtl/>
        </w:rPr>
        <w:t xml:space="preserve"> </w:t>
      </w:r>
      <w:proofErr w:type="spellStart"/>
      <w:r w:rsidRPr="00504147">
        <w:rPr>
          <w:rFonts w:hint="cs"/>
          <w:b/>
          <w:bCs/>
          <w:rtl/>
        </w:rPr>
        <w:t>ורא"ה</w:t>
      </w:r>
      <w:proofErr w:type="spellEnd"/>
      <w:r>
        <w:rPr>
          <w:rFonts w:hint="cs"/>
          <w:rtl/>
        </w:rPr>
        <w:t xml:space="preserve"> שם, </w:t>
      </w:r>
      <w:proofErr w:type="spellStart"/>
      <w:r w:rsidRPr="00504147">
        <w:rPr>
          <w:rFonts w:hint="cs"/>
          <w:b/>
          <w:bCs/>
          <w:rtl/>
        </w:rPr>
        <w:t>ובר"ן</w:t>
      </w:r>
      <w:proofErr w:type="spellEnd"/>
      <w:r>
        <w:rPr>
          <w:rFonts w:hint="cs"/>
          <w:rtl/>
        </w:rPr>
        <w:t xml:space="preserve"> הנ"ל.</w:t>
      </w:r>
    </w:p>
    <w:p w:rsidR="006F5376" w:rsidRDefault="006F5376" w:rsidP="006F5376">
      <w:pPr>
        <w:rPr>
          <w:rtl/>
        </w:rPr>
      </w:pPr>
    </w:p>
    <w:p w:rsidR="006F5376" w:rsidRDefault="006F5376" w:rsidP="006F5376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"כי </w:t>
      </w:r>
      <w:proofErr w:type="spellStart"/>
      <w:r>
        <w:rPr>
          <w:rFonts w:hint="cs"/>
          <w:b/>
          <w:bCs/>
          <w:sz w:val="24"/>
          <w:szCs w:val="24"/>
          <w:rtl/>
        </w:rPr>
        <w:t>משערינן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בדידיה </w:t>
      </w:r>
      <w:proofErr w:type="spellStart"/>
      <w:r>
        <w:rPr>
          <w:rFonts w:hint="cs"/>
          <w:b/>
          <w:bCs/>
          <w:sz w:val="24"/>
          <w:szCs w:val="24"/>
          <w:rtl/>
        </w:rPr>
        <w:t>משערינן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או במאי </w:t>
      </w:r>
      <w:proofErr w:type="spellStart"/>
      <w:r>
        <w:rPr>
          <w:rFonts w:hint="cs"/>
          <w:b/>
          <w:bCs/>
          <w:sz w:val="24"/>
          <w:szCs w:val="24"/>
          <w:rtl/>
        </w:rPr>
        <w:t>דנפק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מיניה </w:t>
      </w:r>
      <w:proofErr w:type="spellStart"/>
      <w:r>
        <w:rPr>
          <w:rFonts w:hint="cs"/>
          <w:b/>
          <w:bCs/>
          <w:sz w:val="24"/>
          <w:szCs w:val="24"/>
          <w:rtl/>
        </w:rPr>
        <w:t>משערינן</w:t>
      </w:r>
      <w:proofErr w:type="spellEnd"/>
      <w:r>
        <w:rPr>
          <w:rFonts w:hint="cs"/>
          <w:b/>
          <w:bCs/>
          <w:sz w:val="24"/>
          <w:szCs w:val="24"/>
          <w:rtl/>
        </w:rPr>
        <w:t>"</w:t>
      </w:r>
    </w:p>
    <w:p w:rsidR="006F5376" w:rsidRPr="001C30E7" w:rsidRDefault="006F5376" w:rsidP="006F5376">
      <w:pPr>
        <w:rPr>
          <w:rtl/>
        </w:rPr>
      </w:pPr>
      <w:r w:rsidRPr="001C30E7">
        <w:rPr>
          <w:rFonts w:hint="cs"/>
          <w:rtl/>
        </w:rPr>
        <w:t xml:space="preserve">ראה רש"י, ועי' </w:t>
      </w:r>
      <w:r w:rsidRPr="00743F66">
        <w:rPr>
          <w:rFonts w:hint="cs"/>
          <w:b/>
          <w:bCs/>
          <w:rtl/>
        </w:rPr>
        <w:t xml:space="preserve">מ"מ </w:t>
      </w:r>
      <w:proofErr w:type="spellStart"/>
      <w:r w:rsidRPr="00743F66">
        <w:rPr>
          <w:rFonts w:hint="cs"/>
          <w:b/>
          <w:bCs/>
          <w:rtl/>
        </w:rPr>
        <w:t>ולח"מ</w:t>
      </w:r>
      <w:proofErr w:type="spellEnd"/>
      <w:r w:rsidRPr="001C30E7">
        <w:rPr>
          <w:rFonts w:hint="cs"/>
          <w:rtl/>
        </w:rPr>
        <w:t xml:space="preserve"> על </w:t>
      </w:r>
      <w:r w:rsidRPr="00743F66">
        <w:rPr>
          <w:rFonts w:hint="cs"/>
          <w:b/>
          <w:bCs/>
          <w:rtl/>
        </w:rPr>
        <w:t>הרמב"ם</w:t>
      </w:r>
      <w:r w:rsidRPr="001C30E7">
        <w:rPr>
          <w:rFonts w:hint="cs"/>
          <w:rtl/>
        </w:rPr>
        <w:t xml:space="preserve"> פ"ט </w:t>
      </w:r>
      <w:proofErr w:type="spellStart"/>
      <w:r w:rsidRPr="001C30E7">
        <w:rPr>
          <w:rFonts w:hint="cs"/>
          <w:rtl/>
        </w:rPr>
        <w:t>הלי"ג</w:t>
      </w:r>
      <w:proofErr w:type="spellEnd"/>
      <w:r w:rsidRPr="001C30E7">
        <w:rPr>
          <w:rFonts w:hint="cs"/>
          <w:rtl/>
        </w:rPr>
        <w:t xml:space="preserve">, שלרמב"ם פשט אחר </w:t>
      </w:r>
      <w:proofErr w:type="spellStart"/>
      <w:r w:rsidRPr="001C30E7">
        <w:rPr>
          <w:rFonts w:hint="cs"/>
          <w:rtl/>
        </w:rPr>
        <w:t>בגמ</w:t>
      </w:r>
      <w:proofErr w:type="spellEnd"/>
      <w:r w:rsidRPr="001C30E7">
        <w:rPr>
          <w:rFonts w:hint="cs"/>
          <w:rtl/>
        </w:rPr>
        <w:t xml:space="preserve">', עיי"ש היטב. והביאם </w:t>
      </w:r>
      <w:proofErr w:type="spellStart"/>
      <w:r w:rsidRPr="00743F66">
        <w:rPr>
          <w:rFonts w:hint="cs"/>
          <w:b/>
          <w:bCs/>
          <w:rtl/>
        </w:rPr>
        <w:t>הגר"א</w:t>
      </w:r>
      <w:proofErr w:type="spellEnd"/>
      <w:r w:rsidRPr="001C30E7">
        <w:rPr>
          <w:rFonts w:hint="cs"/>
          <w:rtl/>
        </w:rPr>
        <w:t xml:space="preserve"> בביאורו כאן אות י"א.</w:t>
      </w:r>
    </w:p>
    <w:p w:rsidR="006F5376" w:rsidRPr="001C30E7" w:rsidRDefault="006F5376" w:rsidP="006F5376">
      <w:pPr>
        <w:rPr>
          <w:rtl/>
        </w:rPr>
      </w:pPr>
    </w:p>
    <w:p w:rsidR="006F5376" w:rsidRDefault="006F5376" w:rsidP="006F5376">
      <w:pPr>
        <w:rPr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תוד"ה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"וכחל מן המניין"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:rsidR="006F5376" w:rsidRPr="00B4272E" w:rsidRDefault="006F5376" w:rsidP="006F5376">
      <w:pPr>
        <w:pStyle w:val="a7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קושיית </w:t>
      </w:r>
      <w:proofErr w:type="spellStart"/>
      <w:r w:rsidRPr="00B4272E">
        <w:rPr>
          <w:rFonts w:hint="cs"/>
          <w:b/>
          <w:bCs/>
          <w:rtl/>
        </w:rPr>
        <w:t>רעק"א</w:t>
      </w:r>
      <w:proofErr w:type="spellEnd"/>
      <w:r w:rsidRPr="00B4272E"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rtl/>
        </w:rPr>
        <w:t>בגליון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הש"ס</w:t>
      </w:r>
      <w:proofErr w:type="spellEnd"/>
      <w:r>
        <w:rPr>
          <w:rFonts w:hint="cs"/>
          <w:rtl/>
        </w:rPr>
        <w:t xml:space="preserve">, מה שייך אפשר לסחטו אסור עד כמה שאין החלב בלוע בבשר. ראה </w:t>
      </w:r>
      <w:r w:rsidRPr="00B4272E">
        <w:rPr>
          <w:rFonts w:hint="cs"/>
          <w:b/>
          <w:bCs/>
          <w:rtl/>
        </w:rPr>
        <w:t>יד יהודה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מה שכתב בזה.</w:t>
      </w:r>
    </w:p>
    <w:p w:rsidR="006F5376" w:rsidRPr="00F03949" w:rsidRDefault="006F5376" w:rsidP="006F537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הקשו </w:t>
      </w:r>
      <w:proofErr w:type="spellStart"/>
      <w:r>
        <w:rPr>
          <w:rFonts w:hint="cs"/>
          <w:rtl/>
        </w:rPr>
        <w:t>חו"ר</w:t>
      </w:r>
      <w:proofErr w:type="spellEnd"/>
      <w:r>
        <w:rPr>
          <w:rFonts w:hint="cs"/>
          <w:rtl/>
        </w:rPr>
        <w:t xml:space="preserve"> בית מדרשנו, </w:t>
      </w:r>
      <w:proofErr w:type="spellStart"/>
      <w:r>
        <w:rPr>
          <w:rFonts w:hint="cs"/>
          <w:rtl/>
        </w:rPr>
        <w:t>אמאי</w:t>
      </w:r>
      <w:proofErr w:type="spellEnd"/>
      <w:r>
        <w:rPr>
          <w:rFonts w:hint="cs"/>
          <w:rtl/>
        </w:rPr>
        <w:t xml:space="preserve"> מבואר </w:t>
      </w:r>
      <w:proofErr w:type="spellStart"/>
      <w:r>
        <w:rPr>
          <w:rFonts w:hint="cs"/>
          <w:rtl/>
        </w:rPr>
        <w:t>בתוס</w:t>
      </w:r>
      <w:proofErr w:type="spellEnd"/>
      <w:r>
        <w:rPr>
          <w:rFonts w:hint="cs"/>
          <w:rtl/>
        </w:rPr>
        <w:t xml:space="preserve">' שאם יהיה בתחילה טעם של חלב בבשר הכחל, </w:t>
      </w:r>
      <w:proofErr w:type="spellStart"/>
      <w:r>
        <w:rPr>
          <w:rFonts w:hint="cs"/>
          <w:rtl/>
        </w:rPr>
        <w:t>יתחנ"ן</w:t>
      </w:r>
      <w:proofErr w:type="spellEnd"/>
      <w:r>
        <w:rPr>
          <w:rFonts w:hint="cs"/>
          <w:rtl/>
        </w:rPr>
        <w:t xml:space="preserve"> הכחל, הלא מבואר </w:t>
      </w:r>
      <w:proofErr w:type="spellStart"/>
      <w:r>
        <w:rPr>
          <w:rFonts w:hint="cs"/>
          <w:rtl/>
        </w:rPr>
        <w:t>בתוס</w:t>
      </w:r>
      <w:proofErr w:type="spellEnd"/>
      <w:r>
        <w:rPr>
          <w:rFonts w:hint="cs"/>
          <w:rtl/>
        </w:rPr>
        <w:t xml:space="preserve">' לקמן (ק. ד"ה בשקדם וסלקו) שכל שלבסוף יתפשט הטעם בשווה בין כל החתיכות, ולא יישאר בחתיכה עצמה, לא </w:t>
      </w:r>
      <w:proofErr w:type="spellStart"/>
      <w:r>
        <w:rPr>
          <w:rFonts w:hint="cs"/>
          <w:rtl/>
        </w:rPr>
        <w:t>אמרינן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חנ"ן</w:t>
      </w:r>
      <w:proofErr w:type="spellEnd"/>
      <w:r>
        <w:rPr>
          <w:rFonts w:hint="cs"/>
          <w:rtl/>
        </w:rPr>
        <w:t>.</w:t>
      </w:r>
    </w:p>
    <w:p w:rsidR="006F5376" w:rsidRDefault="006F5376" w:rsidP="006F5376">
      <w:pPr>
        <w:rPr>
          <w:rtl/>
        </w:rPr>
      </w:pPr>
    </w:p>
    <w:p w:rsidR="00C60172" w:rsidRDefault="00C60172"/>
    <w:sectPr w:rsidR="00C60172" w:rsidSect="008D39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4FF" w:rsidRDefault="00A514FF" w:rsidP="00DB49F5">
      <w:pPr>
        <w:spacing w:after="0" w:line="240" w:lineRule="auto"/>
      </w:pPr>
      <w:r>
        <w:separator/>
      </w:r>
    </w:p>
  </w:endnote>
  <w:endnote w:type="continuationSeparator" w:id="0">
    <w:p w:rsidR="00A514FF" w:rsidRDefault="00A514FF" w:rsidP="00DB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4FF" w:rsidRDefault="00A514FF" w:rsidP="00DB49F5">
      <w:pPr>
        <w:spacing w:after="0" w:line="240" w:lineRule="auto"/>
      </w:pPr>
      <w:r>
        <w:separator/>
      </w:r>
    </w:p>
  </w:footnote>
  <w:footnote w:type="continuationSeparator" w:id="0">
    <w:p w:rsidR="00A514FF" w:rsidRDefault="00A514FF" w:rsidP="00DB49F5">
      <w:pPr>
        <w:spacing w:after="0" w:line="240" w:lineRule="auto"/>
      </w:pPr>
      <w:r>
        <w:continuationSeparator/>
      </w:r>
    </w:p>
  </w:footnote>
  <w:footnote w:id="1">
    <w:p w:rsidR="0069133E" w:rsidRDefault="0069133E">
      <w:pPr>
        <w:pStyle w:val="a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ולכאורה דברי </w:t>
      </w:r>
      <w:proofErr w:type="spellStart"/>
      <w:r>
        <w:rPr>
          <w:rFonts w:hint="cs"/>
          <w:rtl/>
        </w:rPr>
        <w:t>הרש"ש</w:t>
      </w:r>
      <w:proofErr w:type="spellEnd"/>
      <w:r>
        <w:rPr>
          <w:rFonts w:hint="cs"/>
          <w:rtl/>
        </w:rPr>
        <w:t xml:space="preserve"> נסתרים מדברי </w:t>
      </w:r>
      <w:proofErr w:type="spellStart"/>
      <w:r>
        <w:rPr>
          <w:rFonts w:hint="cs"/>
          <w:rtl/>
        </w:rPr>
        <w:t>התוס</w:t>
      </w:r>
      <w:proofErr w:type="spellEnd"/>
      <w:r>
        <w:rPr>
          <w:rFonts w:hint="cs"/>
          <w:rtl/>
        </w:rPr>
        <w:t xml:space="preserve">' בדף צ"ז </w:t>
      </w:r>
      <w:r>
        <w:rPr>
          <w:rtl/>
        </w:rPr>
        <w:t>–</w:t>
      </w:r>
      <w:r>
        <w:rPr>
          <w:rFonts w:hint="cs"/>
          <w:rtl/>
        </w:rPr>
        <w:t xml:space="preserve"> הערת </w:t>
      </w:r>
      <w:proofErr w:type="spellStart"/>
      <w:r>
        <w:rPr>
          <w:rFonts w:hint="cs"/>
          <w:rtl/>
        </w:rPr>
        <w:t>הגר"י</w:t>
      </w:r>
      <w:proofErr w:type="spellEnd"/>
      <w:r>
        <w:rPr>
          <w:rFonts w:hint="cs"/>
          <w:rtl/>
        </w:rPr>
        <w:t xml:space="preserve"> ברגר </w:t>
      </w:r>
      <w:proofErr w:type="spellStart"/>
      <w:r>
        <w:rPr>
          <w:rFonts w:hint="cs"/>
          <w:rtl/>
        </w:rPr>
        <w:t>שליט"א</w:t>
      </w:r>
      <w:proofErr w:type="spellEnd"/>
      <w:r>
        <w:rPr>
          <w:rFonts w:hint="cs"/>
          <w:rtl/>
        </w:rPr>
        <w:t>. וצ"ע.</w:t>
      </w:r>
    </w:p>
  </w:footnote>
  <w:footnote w:id="2">
    <w:p w:rsidR="00DB49F5" w:rsidRDefault="00DB49F5" w:rsidP="00DB49F5">
      <w:pPr>
        <w:pStyle w:val="a4"/>
        <w:rPr>
          <w:rFonts w:hint="cs"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ושו"ר</w:t>
      </w:r>
      <w:proofErr w:type="spellEnd"/>
      <w:r>
        <w:rPr>
          <w:rFonts w:hint="cs"/>
          <w:rtl/>
        </w:rPr>
        <w:t xml:space="preserve"> שגם </w:t>
      </w:r>
      <w:proofErr w:type="spellStart"/>
      <w:r>
        <w:rPr>
          <w:rFonts w:hint="cs"/>
          <w:rtl/>
        </w:rPr>
        <w:t>הבדי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השלחן</w:t>
      </w:r>
      <w:proofErr w:type="spellEnd"/>
      <w:r>
        <w:rPr>
          <w:rFonts w:hint="cs"/>
          <w:rtl/>
        </w:rPr>
        <w:t xml:space="preserve"> נשאר בזה </w:t>
      </w:r>
      <w:proofErr w:type="spellStart"/>
      <w:r>
        <w:rPr>
          <w:rFonts w:hint="cs"/>
          <w:rtl/>
        </w:rPr>
        <w:t>בצ"ע</w:t>
      </w:r>
      <w:proofErr w:type="spellEnd"/>
      <w:r>
        <w:rPr>
          <w:rFonts w:hint="cs"/>
          <w:rtl/>
        </w:rPr>
        <w:t xml:space="preserve">. אמנם עי' </w:t>
      </w:r>
      <w:proofErr w:type="spellStart"/>
      <w:r>
        <w:rPr>
          <w:rFonts w:hint="cs"/>
          <w:rtl/>
        </w:rPr>
        <w:t>חוו"ד</w:t>
      </w:r>
      <w:proofErr w:type="spellEnd"/>
      <w:r>
        <w:rPr>
          <w:rFonts w:hint="cs"/>
          <w:rtl/>
        </w:rPr>
        <w:t xml:space="preserve"> ויד יהודה מה שכתבו בזה.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11523"/>
    <w:multiLevelType w:val="hybridMultilevel"/>
    <w:tmpl w:val="25A817B0"/>
    <w:lvl w:ilvl="0" w:tplc="0BD6733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F5"/>
    <w:rsid w:val="0069133E"/>
    <w:rsid w:val="006F5376"/>
    <w:rsid w:val="008D39E8"/>
    <w:rsid w:val="00A514FF"/>
    <w:rsid w:val="00C60172"/>
    <w:rsid w:val="00C60941"/>
    <w:rsid w:val="00D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0E65"/>
  <w15:chartTrackingRefBased/>
  <w15:docId w15:val="{525BDE53-0E93-4365-8088-99A87C28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9F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DB49F5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DB49F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B49F5"/>
    <w:rPr>
      <w:vertAlign w:val="superscript"/>
    </w:rPr>
  </w:style>
  <w:style w:type="paragraph" w:styleId="a7">
    <w:name w:val="List Paragraph"/>
    <w:basedOn w:val="a"/>
    <w:uiPriority w:val="34"/>
    <w:qFormat/>
    <w:rsid w:val="006F537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6094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C6094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cp:lastPrinted>2020-05-22T09:09:00Z</cp:lastPrinted>
  <dcterms:created xsi:type="dcterms:W3CDTF">2020-05-22T08:38:00Z</dcterms:created>
  <dcterms:modified xsi:type="dcterms:W3CDTF">2020-05-22T09:16:00Z</dcterms:modified>
</cp:coreProperties>
</file>