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D35" w:rsidRDefault="000C1830">
      <w:pPr>
        <w:rPr>
          <w:rtl/>
        </w:rPr>
      </w:pPr>
      <w:r>
        <w:rPr>
          <w:rFonts w:hint="cs"/>
          <w:rtl/>
        </w:rPr>
        <w:t>בעזרת השם יתברך</w:t>
      </w:r>
    </w:p>
    <w:p w:rsidR="00BB5F7D" w:rsidRPr="00BB5F7D" w:rsidRDefault="00BB5F7D" w:rsidP="00BB5F7D">
      <w:pPr>
        <w:rPr>
          <w:b/>
          <w:bCs/>
          <w:rtl/>
        </w:rPr>
      </w:pPr>
      <w:r>
        <w:rPr>
          <w:rFonts w:hint="cs"/>
          <w:b/>
          <w:bCs/>
          <w:rtl/>
        </w:rPr>
        <w:t>ציונים והערות לריש סימן צ"</w:t>
      </w:r>
      <w:r w:rsidR="00F405AE">
        <w:rPr>
          <w:rFonts w:hint="cs"/>
          <w:b/>
          <w:bCs/>
          <w:rtl/>
        </w:rPr>
        <w:t>א</w:t>
      </w:r>
    </w:p>
    <w:p w:rsidR="00944B2E" w:rsidRDefault="00944B2E">
      <w:pPr>
        <w:rPr>
          <w:b/>
          <w:bCs/>
          <w:rtl/>
        </w:rPr>
      </w:pPr>
    </w:p>
    <w:p w:rsidR="000C1830" w:rsidRDefault="000C1830">
      <w:pPr>
        <w:rPr>
          <w:b/>
          <w:bCs/>
          <w:rtl/>
        </w:rPr>
      </w:pPr>
      <w:r>
        <w:rPr>
          <w:rFonts w:hint="cs"/>
          <w:b/>
          <w:bCs/>
          <w:rtl/>
        </w:rPr>
        <w:t>שימוש בצונן בכלים הבלועים באיסור</w:t>
      </w:r>
    </w:p>
    <w:p w:rsidR="000C1830" w:rsidRDefault="000C1830">
      <w:pPr>
        <w:rPr>
          <w:rtl/>
        </w:rPr>
      </w:pPr>
      <w:r>
        <w:rPr>
          <w:rFonts w:hint="cs"/>
          <w:rtl/>
        </w:rPr>
        <w:t>אגב החידוש שהתחדש כאן בסוגיא שצונן בצונן שנוגעים זה בזה צריכים הדחה, ומחמ</w:t>
      </w:r>
      <w:r w:rsidR="00D61FCF">
        <w:rPr>
          <w:rFonts w:hint="cs"/>
          <w:rtl/>
        </w:rPr>
        <w:t>ת כן אסור לכתחילה להגיעם זה בזה, נכנס נושא גדול מאוד של שימוש בצונן בכלים הבלועים באיסור. אשר נקט בעל העיטור המובא בטור בפשיטות שגם שימוש כזה מצריך הדחה, והאריכו בסימנן כל הפוסקים, ראשונים ואחרונים, בחילוקי פרטים בדינים אלו. ותלוי נושא זה בשתי אבחנות עיקריות: א, באיזו צורה נבלע האיסור בכלים הנ"ל.  ב, באיזו צורה השתמשו בצונן בהיתר.</w:t>
      </w:r>
    </w:p>
    <w:p w:rsidR="00D61FCF" w:rsidRDefault="00D61FCF" w:rsidP="00EC6EB7">
      <w:pPr>
        <w:rPr>
          <w:rtl/>
        </w:rPr>
      </w:pPr>
      <w:r>
        <w:rPr>
          <w:rFonts w:hint="cs"/>
          <w:rtl/>
        </w:rPr>
        <w:t>ועצם הנושא מחודש מאוד הוא, דהא לפי הכללים הפשוטים המסורים בידינו, לא אמורה להיות בעיה בשימוש בצונן, אף בכלי הבלוע באיסור, כיון ששימוש בצונן אינו מפליט. אמנם לכאורה מצאנו מקו</w:t>
      </w:r>
      <w:r w:rsidR="00EC6EB7">
        <w:rPr>
          <w:rFonts w:hint="cs"/>
          <w:rtl/>
        </w:rPr>
        <w:t xml:space="preserve">ר לעניין זה של </w:t>
      </w:r>
      <w:r w:rsidR="000A4B0F">
        <w:rPr>
          <w:rFonts w:hint="cs"/>
          <w:rtl/>
        </w:rPr>
        <w:t xml:space="preserve">איסור </w:t>
      </w:r>
      <w:r w:rsidR="00EC6EB7">
        <w:rPr>
          <w:rFonts w:hint="cs"/>
          <w:rtl/>
        </w:rPr>
        <w:t>שימוש בצונן, לגירסת</w:t>
      </w:r>
      <w:r>
        <w:rPr>
          <w:rFonts w:hint="cs"/>
          <w:rtl/>
        </w:rPr>
        <w:t xml:space="preserve"> הרי"ף וסיעתו </w:t>
      </w:r>
      <w:r w:rsidR="00EC6EB7">
        <w:rPr>
          <w:rFonts w:hint="cs"/>
          <w:rtl/>
        </w:rPr>
        <w:t>בגמ' בפסחים ל' ב', אשר אסור</w:t>
      </w:r>
      <w:r>
        <w:rPr>
          <w:rFonts w:hint="cs"/>
          <w:rtl/>
        </w:rPr>
        <w:t xml:space="preserve"> להשתמש במצה </w:t>
      </w:r>
      <w:r>
        <w:rPr>
          <w:rtl/>
        </w:rPr>
        <w:t>–</w:t>
      </w:r>
      <w:r>
        <w:rPr>
          <w:rFonts w:hint="cs"/>
          <w:rtl/>
        </w:rPr>
        <w:t xml:space="preserve"> אף בצונן </w:t>
      </w:r>
      <w:r>
        <w:rPr>
          <w:rtl/>
        </w:rPr>
        <w:t>–</w:t>
      </w:r>
      <w:r w:rsidR="00EC6EB7">
        <w:rPr>
          <w:rFonts w:hint="cs"/>
          <w:rtl/>
        </w:rPr>
        <w:t xml:space="preserve"> בקערה שבלוע בה חמץ.</w:t>
      </w:r>
      <w:r w:rsidR="003173B6">
        <w:rPr>
          <w:rFonts w:hint="cs"/>
          <w:rtl/>
        </w:rPr>
        <w:t xml:space="preserve"> </w:t>
      </w:r>
      <w:r w:rsidR="00EC6EB7">
        <w:rPr>
          <w:rFonts w:hint="cs"/>
          <w:rtl/>
        </w:rPr>
        <w:t xml:space="preserve">אמנם </w:t>
      </w:r>
      <w:r w:rsidR="003173B6">
        <w:rPr>
          <w:rFonts w:hint="cs"/>
          <w:rtl/>
        </w:rPr>
        <w:t xml:space="preserve"> ביארו שם הראשונים שכל זה הוא רק משום שכלי חרס הרי הוא כאילו ספוג באיסור, משא"כ בשאר כלים (או שבכלל אין האיסור שם בעצם, אלא משום חשש שיבוא להשתמש אף בחמין בלא הגעלה).</w:t>
      </w:r>
    </w:p>
    <w:p w:rsidR="00EC6EB7" w:rsidRDefault="00EC6EB7">
      <w:pPr>
        <w:rPr>
          <w:rtl/>
        </w:rPr>
      </w:pPr>
      <w:r>
        <w:rPr>
          <w:rFonts w:hint="cs"/>
          <w:rtl/>
        </w:rPr>
        <w:t>ואילו דעת הרא"ש שם שכל איסור השימוש במצה הוא דווקא בחמין, ולשיטתו ז"ל אין מקור כלל לאיסור שימוש בצונן בכלי הבלוע באיסור. (ופליג על הרי"ף בעוד נקודה, דאליבא דהרי"ף, שימוש של כל חמץ בכלי מבליע בו בליעות, מחמת חוזקו של החמץ. ואילו אליבא דהרא"ש, רק שימוש בשאור אשר חימוצו חזק יותר.)</w:t>
      </w:r>
    </w:p>
    <w:p w:rsidR="003173B6" w:rsidRDefault="003173B6">
      <w:pPr>
        <w:rPr>
          <w:rtl/>
        </w:rPr>
      </w:pPr>
      <w:r>
        <w:rPr>
          <w:rFonts w:hint="cs"/>
          <w:rtl/>
        </w:rPr>
        <w:t>ולמעשה, בפשטות התבארו אצלנו בסימן (לפחות) ג' שיטות בזה:</w:t>
      </w:r>
    </w:p>
    <w:p w:rsidR="000A4B0F" w:rsidRDefault="000A4B0F">
      <w:pPr>
        <w:rPr>
          <w:rtl/>
        </w:rPr>
      </w:pPr>
    </w:p>
    <w:p w:rsidR="003173B6" w:rsidRDefault="003173B6">
      <w:pPr>
        <w:rPr>
          <w:rtl/>
        </w:rPr>
      </w:pPr>
      <w:r>
        <w:rPr>
          <w:rFonts w:hint="cs"/>
          <w:rtl/>
        </w:rPr>
        <w:t>דעת הרמ"א:</w:t>
      </w:r>
    </w:p>
    <w:p w:rsidR="003173B6" w:rsidRDefault="003173B6">
      <w:pPr>
        <w:rPr>
          <w:rtl/>
        </w:rPr>
      </w:pPr>
      <w:r>
        <w:rPr>
          <w:rFonts w:hint="cs"/>
          <w:rtl/>
        </w:rPr>
        <w:t>בכלי שבלוע בבליעות חמורות (על ידי חמין), אין היתר לה</w:t>
      </w:r>
      <w:r w:rsidR="000A4B0F">
        <w:rPr>
          <w:rFonts w:hint="cs"/>
          <w:rtl/>
        </w:rPr>
        <w:t>שתמש בו אף בצונן יבש.</w:t>
      </w:r>
    </w:p>
    <w:p w:rsidR="003173B6" w:rsidRDefault="003173B6">
      <w:pPr>
        <w:rPr>
          <w:rtl/>
        </w:rPr>
      </w:pPr>
      <w:r>
        <w:rPr>
          <w:rFonts w:hint="cs"/>
          <w:rtl/>
        </w:rPr>
        <w:t>וכלי שבלוע בבליעות קלות (כבוש, מליחה)</w:t>
      </w:r>
      <w:r w:rsidR="000A4B0F">
        <w:rPr>
          <w:rFonts w:hint="cs"/>
          <w:rtl/>
        </w:rPr>
        <w:t>, כל איסור השימוש בו בצונן, הוא רק בצונן לח.</w:t>
      </w:r>
    </w:p>
    <w:p w:rsidR="000A4B0F" w:rsidRDefault="000A4B0F">
      <w:pPr>
        <w:rPr>
          <w:rtl/>
        </w:rPr>
      </w:pPr>
    </w:p>
    <w:p w:rsidR="000A4B0F" w:rsidRDefault="000A4B0F">
      <w:pPr>
        <w:rPr>
          <w:rtl/>
        </w:rPr>
      </w:pPr>
      <w:r>
        <w:rPr>
          <w:rFonts w:hint="cs"/>
          <w:rtl/>
        </w:rPr>
        <w:t>דעת הט"ז:</w:t>
      </w:r>
    </w:p>
    <w:p w:rsidR="000A4B0F" w:rsidRDefault="000A4B0F">
      <w:pPr>
        <w:rPr>
          <w:rtl/>
        </w:rPr>
      </w:pPr>
      <w:r>
        <w:rPr>
          <w:rFonts w:hint="cs"/>
          <w:rtl/>
        </w:rPr>
        <w:t>בכלי שבלוע בבליעות חמורו</w:t>
      </w:r>
      <w:r w:rsidR="00B10EC7">
        <w:rPr>
          <w:rFonts w:hint="cs"/>
          <w:rtl/>
        </w:rPr>
        <w:t>ת (על ידי חמין או שאור) אסור להשתמש בלח צונן.</w:t>
      </w:r>
    </w:p>
    <w:p w:rsidR="00B10EC7" w:rsidRDefault="00B10EC7">
      <w:pPr>
        <w:rPr>
          <w:rtl/>
        </w:rPr>
      </w:pPr>
      <w:r>
        <w:rPr>
          <w:rFonts w:hint="cs"/>
          <w:rtl/>
        </w:rPr>
        <w:t>אבל בכלי שבלוע בבליעות קלות, אין שום איסור להשתמש בצונן (ואף לא בחם יבש).</w:t>
      </w:r>
    </w:p>
    <w:p w:rsidR="00B10EC7" w:rsidRDefault="00B10EC7">
      <w:pPr>
        <w:rPr>
          <w:rtl/>
        </w:rPr>
      </w:pPr>
    </w:p>
    <w:p w:rsidR="00B10EC7" w:rsidRDefault="00B10EC7">
      <w:pPr>
        <w:rPr>
          <w:rtl/>
        </w:rPr>
      </w:pPr>
      <w:r>
        <w:rPr>
          <w:rFonts w:hint="cs"/>
          <w:rtl/>
        </w:rPr>
        <w:t>דעת הש"ך:</w:t>
      </w:r>
    </w:p>
    <w:p w:rsidR="00B10EC7" w:rsidRDefault="00B10EC7">
      <w:pPr>
        <w:rPr>
          <w:rtl/>
        </w:rPr>
      </w:pPr>
      <w:r>
        <w:rPr>
          <w:rFonts w:hint="cs"/>
          <w:rtl/>
        </w:rPr>
        <w:t>לעולם לא יצאו בליעות על ידי שימוש בצונן</w:t>
      </w:r>
      <w:r w:rsidR="00312078">
        <w:rPr>
          <w:rFonts w:hint="cs"/>
          <w:rtl/>
        </w:rPr>
        <w:t xml:space="preserve"> (אם לא בכלי חרס, לדעת חלק מהראשונים)</w:t>
      </w:r>
      <w:r>
        <w:rPr>
          <w:rFonts w:hint="cs"/>
          <w:rtl/>
        </w:rPr>
        <w:t>.</w:t>
      </w:r>
      <w:r w:rsidR="00944B2E">
        <w:rPr>
          <w:rFonts w:hint="cs"/>
          <w:rtl/>
        </w:rPr>
        <w:t xml:space="preserve"> דברי בעל העיטור נאמרו רק על קדירה מלוכלכת.</w:t>
      </w:r>
    </w:p>
    <w:p w:rsidR="003401E3" w:rsidRDefault="003401E3">
      <w:pPr>
        <w:rPr>
          <w:rtl/>
        </w:rPr>
      </w:pPr>
    </w:p>
    <w:p w:rsidR="003401E3" w:rsidRDefault="003401E3">
      <w:pPr>
        <w:rPr>
          <w:rtl/>
        </w:rPr>
      </w:pPr>
    </w:p>
    <w:p w:rsidR="003401E3" w:rsidRDefault="003401E3">
      <w:pPr>
        <w:rPr>
          <w:rtl/>
        </w:rPr>
      </w:pPr>
    </w:p>
    <w:p w:rsidR="003401E3" w:rsidRDefault="003401E3">
      <w:pPr>
        <w:rPr>
          <w:rtl/>
        </w:rPr>
      </w:pPr>
    </w:p>
    <w:p w:rsidR="003401E3" w:rsidRDefault="003401E3">
      <w:pPr>
        <w:rPr>
          <w:rtl/>
        </w:rPr>
      </w:pPr>
    </w:p>
    <w:p w:rsidR="003401E3" w:rsidRDefault="003401E3">
      <w:pPr>
        <w:rPr>
          <w:rtl/>
        </w:rPr>
      </w:pPr>
    </w:p>
    <w:p w:rsidR="00F37F53" w:rsidRPr="00F37F53" w:rsidRDefault="003401E3" w:rsidP="00F37F53">
      <w:pPr>
        <w:rPr>
          <w:b/>
          <w:bCs/>
          <w:sz w:val="20"/>
          <w:szCs w:val="20"/>
          <w:rtl/>
        </w:rPr>
      </w:pPr>
      <w:r w:rsidRPr="00F37F53">
        <w:rPr>
          <w:rFonts w:hint="cs"/>
          <w:b/>
          <w:bCs/>
          <w:sz w:val="20"/>
          <w:szCs w:val="20"/>
          <w:rtl/>
        </w:rPr>
        <w:t>בעזרת השם יתברך</w:t>
      </w:r>
    </w:p>
    <w:p w:rsidR="003401E3" w:rsidRPr="00F37F53" w:rsidRDefault="008E35DA" w:rsidP="008E35DA">
      <w:pPr>
        <w:jc w:val="center"/>
        <w:rPr>
          <w:b/>
          <w:bCs/>
          <w:sz w:val="20"/>
          <w:szCs w:val="20"/>
          <w:rtl/>
        </w:rPr>
      </w:pPr>
      <w:r w:rsidRPr="00F37F53">
        <w:rPr>
          <w:rFonts w:hint="cs"/>
          <w:b/>
          <w:bCs/>
          <w:sz w:val="20"/>
          <w:szCs w:val="20"/>
          <w:rtl/>
        </w:rPr>
        <w:t xml:space="preserve">ציונים ומראי מקומות לריש סי' צ"א </w:t>
      </w:r>
      <w:r w:rsidRPr="00F37F53">
        <w:rPr>
          <w:b/>
          <w:bCs/>
          <w:sz w:val="20"/>
          <w:szCs w:val="20"/>
          <w:rtl/>
        </w:rPr>
        <w:t>–</w:t>
      </w:r>
      <w:r w:rsidRPr="00F37F53">
        <w:rPr>
          <w:rFonts w:hint="cs"/>
          <w:b/>
          <w:bCs/>
          <w:sz w:val="20"/>
          <w:szCs w:val="20"/>
          <w:rtl/>
        </w:rPr>
        <w:t xml:space="preserve"> דין </w:t>
      </w:r>
      <w:r w:rsidR="00445AB9" w:rsidRPr="00F37F53">
        <w:rPr>
          <w:rFonts w:hint="cs"/>
          <w:b/>
          <w:bCs/>
          <w:sz w:val="20"/>
          <w:szCs w:val="20"/>
          <w:rtl/>
        </w:rPr>
        <w:t>הדחה למגעים צוננים</w:t>
      </w:r>
    </w:p>
    <w:p w:rsidR="003401E3" w:rsidRPr="00F37F53" w:rsidRDefault="008E35DA" w:rsidP="00B71C30">
      <w:pPr>
        <w:rPr>
          <w:rFonts w:hint="cs"/>
          <w:b/>
          <w:bCs/>
          <w:sz w:val="20"/>
          <w:szCs w:val="20"/>
          <w:rtl/>
        </w:rPr>
      </w:pPr>
      <w:r w:rsidRPr="00F37F53">
        <w:rPr>
          <w:rFonts w:hint="cs"/>
          <w:b/>
          <w:bCs/>
          <w:sz w:val="20"/>
          <w:szCs w:val="20"/>
          <w:rtl/>
        </w:rPr>
        <w:t xml:space="preserve">א, </w:t>
      </w:r>
      <w:r w:rsidR="003401E3" w:rsidRPr="00F37F53">
        <w:rPr>
          <w:rFonts w:hint="cs"/>
          <w:b/>
          <w:bCs/>
          <w:sz w:val="20"/>
          <w:szCs w:val="20"/>
          <w:rtl/>
        </w:rPr>
        <w:t>מהי "הדחה"</w:t>
      </w:r>
    </w:p>
    <w:p w:rsidR="008E35DA" w:rsidRPr="00F37F53" w:rsidRDefault="00B71C30" w:rsidP="00445AB9">
      <w:pPr>
        <w:rPr>
          <w:sz w:val="20"/>
          <w:szCs w:val="20"/>
          <w:rtl/>
        </w:rPr>
      </w:pPr>
      <w:r w:rsidRPr="00F37F53">
        <w:rPr>
          <w:rFonts w:hint="cs"/>
          <w:sz w:val="20"/>
          <w:szCs w:val="20"/>
          <w:rtl/>
        </w:rPr>
        <w:t xml:space="preserve">עי' חוו"ד (סק"א) שהוכיח מדברי הרשב"א </w:t>
      </w:r>
      <w:r w:rsidR="008E35DA" w:rsidRPr="00F37F53">
        <w:rPr>
          <w:rFonts w:hint="cs"/>
          <w:sz w:val="20"/>
          <w:szCs w:val="20"/>
          <w:rtl/>
        </w:rPr>
        <w:t xml:space="preserve">(תורת הבית ב"ד סוף שער א') </w:t>
      </w:r>
      <w:r w:rsidRPr="00F37F53">
        <w:rPr>
          <w:rFonts w:hint="cs"/>
          <w:sz w:val="20"/>
          <w:szCs w:val="20"/>
          <w:rtl/>
        </w:rPr>
        <w:t xml:space="preserve">שהיינו הדחה בלא שפשוף. והביא הפת"ש א' דכן משמעות הפמ"ד ש"ד ב'.  אך עי' יד יהודה שהביא מדברי הריב"ש </w:t>
      </w:r>
      <w:r w:rsidR="008E35DA" w:rsidRPr="00F37F53">
        <w:rPr>
          <w:rFonts w:hint="cs"/>
          <w:sz w:val="20"/>
          <w:szCs w:val="20"/>
          <w:rtl/>
        </w:rPr>
        <w:t xml:space="preserve">(סי' כ"ו) </w:t>
      </w:r>
      <w:r w:rsidRPr="00F37F53">
        <w:rPr>
          <w:rFonts w:hint="cs"/>
          <w:sz w:val="20"/>
          <w:szCs w:val="20"/>
          <w:rtl/>
        </w:rPr>
        <w:t xml:space="preserve">שכל הדחה היינו עם שפשוף. והביא הפת"ש סק"ג שכן משמעות הפמ"ג משב"ז סוסק"א (והקשה סתירה בדבריו).  </w:t>
      </w:r>
      <w:r w:rsidR="00445AB9" w:rsidRPr="00F37F53">
        <w:rPr>
          <w:rFonts w:hint="cs"/>
          <w:sz w:val="20"/>
          <w:szCs w:val="20"/>
          <w:rtl/>
        </w:rPr>
        <w:t xml:space="preserve">    </w:t>
      </w:r>
      <w:r w:rsidR="008E35DA" w:rsidRPr="00F37F53">
        <w:rPr>
          <w:rFonts w:hint="cs"/>
          <w:sz w:val="20"/>
          <w:szCs w:val="20"/>
          <w:rtl/>
        </w:rPr>
        <w:t xml:space="preserve">ובדבר שמן כתב הפמ"ג (ש"ד הנ"ל) </w:t>
      </w:r>
      <w:r w:rsidR="00445AB9" w:rsidRPr="00F37F53">
        <w:rPr>
          <w:rFonts w:hint="cs"/>
          <w:sz w:val="20"/>
          <w:szCs w:val="20"/>
          <w:rtl/>
        </w:rPr>
        <w:t>שודאי</w:t>
      </w:r>
      <w:r w:rsidR="008E35DA" w:rsidRPr="00F37F53">
        <w:rPr>
          <w:rFonts w:hint="cs"/>
          <w:sz w:val="20"/>
          <w:szCs w:val="20"/>
          <w:rtl/>
        </w:rPr>
        <w:t xml:space="preserve"> </w:t>
      </w:r>
      <w:r w:rsidR="00445AB9" w:rsidRPr="00F37F53">
        <w:rPr>
          <w:rFonts w:hint="cs"/>
          <w:sz w:val="20"/>
          <w:szCs w:val="20"/>
          <w:rtl/>
        </w:rPr>
        <w:t xml:space="preserve">צריך </w:t>
      </w:r>
      <w:r w:rsidR="008E35DA" w:rsidRPr="00F37F53">
        <w:rPr>
          <w:rFonts w:hint="cs"/>
          <w:sz w:val="20"/>
          <w:szCs w:val="20"/>
          <w:rtl/>
        </w:rPr>
        <w:t>דווקא שפשוף</w:t>
      </w:r>
      <w:r w:rsidR="00445AB9" w:rsidRPr="00F37F53">
        <w:rPr>
          <w:rFonts w:hint="cs"/>
          <w:sz w:val="20"/>
          <w:szCs w:val="20"/>
          <w:rtl/>
        </w:rPr>
        <w:t>, אף אם בעלמא סגי בהדחה ללא שפשוף.</w:t>
      </w:r>
      <w:r w:rsidR="008E35DA" w:rsidRPr="00F37F53">
        <w:rPr>
          <w:rFonts w:hint="cs"/>
          <w:sz w:val="20"/>
          <w:szCs w:val="20"/>
          <w:rtl/>
        </w:rPr>
        <w:t xml:space="preserve"> ועי' פת"ש סק"ג בשם החוו"ד שפליג גם בזה, וסובר שרק </w:t>
      </w:r>
      <w:r w:rsidR="00445AB9" w:rsidRPr="00F37F53">
        <w:rPr>
          <w:rFonts w:hint="cs"/>
          <w:sz w:val="20"/>
          <w:szCs w:val="20"/>
          <w:rtl/>
        </w:rPr>
        <w:t>בדוחקא דסכינא מצריך דבר שמן שפשוף</w:t>
      </w:r>
      <w:r w:rsidR="008E35DA" w:rsidRPr="00F37F53">
        <w:rPr>
          <w:rFonts w:hint="cs"/>
          <w:sz w:val="20"/>
          <w:szCs w:val="20"/>
          <w:rtl/>
        </w:rPr>
        <w:t>.</w:t>
      </w:r>
    </w:p>
    <w:p w:rsidR="00B71C30" w:rsidRPr="00F37F53" w:rsidRDefault="00B71C30" w:rsidP="00B71C30">
      <w:pPr>
        <w:rPr>
          <w:sz w:val="20"/>
          <w:szCs w:val="20"/>
          <w:rtl/>
        </w:rPr>
      </w:pPr>
      <w:r w:rsidRPr="00F37F53">
        <w:rPr>
          <w:rFonts w:hint="cs"/>
          <w:sz w:val="20"/>
          <w:szCs w:val="20"/>
          <w:rtl/>
        </w:rPr>
        <w:t xml:space="preserve">ועי' בדי השלחן </w:t>
      </w:r>
      <w:r w:rsidR="008E35DA" w:rsidRPr="00F37F53">
        <w:rPr>
          <w:rFonts w:hint="cs"/>
          <w:sz w:val="20"/>
          <w:szCs w:val="20"/>
          <w:rtl/>
        </w:rPr>
        <w:t xml:space="preserve">(סק"ד, ובביאורים ד"ה שצריך להדיח) </w:t>
      </w:r>
      <w:r w:rsidRPr="00F37F53">
        <w:rPr>
          <w:rFonts w:hint="cs"/>
          <w:sz w:val="20"/>
          <w:szCs w:val="20"/>
          <w:rtl/>
        </w:rPr>
        <w:t>שהאריך ב</w:t>
      </w:r>
      <w:r w:rsidR="008E35DA" w:rsidRPr="00F37F53">
        <w:rPr>
          <w:rFonts w:hint="cs"/>
          <w:sz w:val="20"/>
          <w:szCs w:val="20"/>
          <w:rtl/>
        </w:rPr>
        <w:t xml:space="preserve">כל </w:t>
      </w:r>
      <w:r w:rsidRPr="00F37F53">
        <w:rPr>
          <w:rFonts w:hint="cs"/>
          <w:sz w:val="20"/>
          <w:szCs w:val="20"/>
          <w:rtl/>
        </w:rPr>
        <w:t xml:space="preserve">זה והסיק </w:t>
      </w:r>
      <w:r w:rsidR="008E35DA" w:rsidRPr="00F37F53">
        <w:rPr>
          <w:rFonts w:hint="cs"/>
          <w:sz w:val="20"/>
          <w:szCs w:val="20"/>
          <w:rtl/>
        </w:rPr>
        <w:t>שהדחה גרידא בלי שום שפשוף בידיים אינה מועילה, ובדבר שמן לא סגי בשפשוף גרידא ובעינן דווקא "שפשוף גדול", והיינו אף ללא דוחקא דסכינא, עיי"ש.</w:t>
      </w:r>
    </w:p>
    <w:p w:rsidR="008E35DA" w:rsidRPr="00F37F53" w:rsidRDefault="008E35DA">
      <w:pPr>
        <w:rPr>
          <w:rFonts w:hint="cs"/>
          <w:b/>
          <w:bCs/>
          <w:sz w:val="20"/>
          <w:szCs w:val="20"/>
          <w:rtl/>
        </w:rPr>
      </w:pPr>
      <w:r w:rsidRPr="00F37F53">
        <w:rPr>
          <w:rFonts w:hint="cs"/>
          <w:b/>
          <w:bCs/>
          <w:sz w:val="20"/>
          <w:szCs w:val="20"/>
          <w:rtl/>
        </w:rPr>
        <w:t>ב, בדיעבד אם לא הדיח</w:t>
      </w:r>
    </w:p>
    <w:p w:rsidR="00445AB9" w:rsidRPr="00F37F53" w:rsidRDefault="008E35DA" w:rsidP="00445AB9">
      <w:pPr>
        <w:rPr>
          <w:sz w:val="20"/>
          <w:szCs w:val="20"/>
          <w:rtl/>
        </w:rPr>
      </w:pPr>
      <w:r w:rsidRPr="00F37F53">
        <w:rPr>
          <w:rFonts w:hint="cs"/>
          <w:sz w:val="20"/>
          <w:szCs w:val="20"/>
          <w:rtl/>
        </w:rPr>
        <w:t>עי' ט"ז סק"א</w:t>
      </w:r>
      <w:r w:rsidR="00BC4064" w:rsidRPr="00F37F53">
        <w:rPr>
          <w:rFonts w:hint="cs"/>
          <w:sz w:val="20"/>
          <w:szCs w:val="20"/>
          <w:rtl/>
        </w:rPr>
        <w:t xml:space="preserve"> שכל חובת ההדחה היא רק לכתחילה, אבל אם בישל ללא הדחה בדיעבד מותר. ועי' </w:t>
      </w:r>
      <w:r w:rsidR="00DA6D9D" w:rsidRPr="00F37F53">
        <w:rPr>
          <w:rFonts w:hint="cs"/>
          <w:sz w:val="20"/>
          <w:szCs w:val="20"/>
          <w:rtl/>
        </w:rPr>
        <w:t>ט"ז סק"ב בשם התו"ח שאף שעת הדחק מוגדרת דיעבד. (ועי' במה שהביא שם בשם המהרש"ל, ועי' פמ"ג שלמד שהמהרש"ל ס"ל שאוסר אף בדיעבד, אך לכאורה יש לדון בזה, דייתכן שהכוונה שלקחת מהגוי נחשב כלתחילה, ועי'.)   ועי' חוו"ד סק"ג שכתב שתי אפשרויות לבאר את ההיתר בדיעבד, או משום שהאיסור הוא רק לכתחילה או משום שבטל ברוב, ונפ"מ במקרה שהשתמש במזיד, ע</w:t>
      </w:r>
      <w:r w:rsidR="00445AB9" w:rsidRPr="00F37F53">
        <w:rPr>
          <w:rFonts w:hint="cs"/>
          <w:sz w:val="20"/>
          <w:szCs w:val="20"/>
          <w:rtl/>
        </w:rPr>
        <w:t xml:space="preserve">יי"ש. (ולכאורה משמעות הט"ז סק"א כהצד שכל גדר </w:t>
      </w:r>
      <w:r w:rsidR="00DA6D9D" w:rsidRPr="00F37F53">
        <w:rPr>
          <w:rFonts w:hint="cs"/>
          <w:sz w:val="20"/>
          <w:szCs w:val="20"/>
          <w:rtl/>
        </w:rPr>
        <w:t>האיסור הוא רק לכתחילה. ודוק.)</w:t>
      </w:r>
      <w:r w:rsidR="00445AB9" w:rsidRPr="00F37F53">
        <w:rPr>
          <w:rFonts w:hint="cs"/>
          <w:sz w:val="20"/>
          <w:szCs w:val="20"/>
          <w:rtl/>
        </w:rPr>
        <w:t xml:space="preserve"> </w:t>
      </w:r>
    </w:p>
    <w:p w:rsidR="00445AB9" w:rsidRPr="00F37F53" w:rsidRDefault="005D6DCC" w:rsidP="005D6DCC">
      <w:pPr>
        <w:rPr>
          <w:sz w:val="20"/>
          <w:szCs w:val="20"/>
          <w:rtl/>
        </w:rPr>
      </w:pPr>
      <w:r w:rsidRPr="00F37F53">
        <w:rPr>
          <w:rFonts w:hint="cs"/>
          <w:sz w:val="20"/>
          <w:szCs w:val="20"/>
          <w:rtl/>
        </w:rPr>
        <w:t>ועי' ב</w:t>
      </w:r>
      <w:r w:rsidR="00445AB9" w:rsidRPr="00F37F53">
        <w:rPr>
          <w:rFonts w:hint="cs"/>
          <w:sz w:val="20"/>
          <w:szCs w:val="20"/>
          <w:rtl/>
        </w:rPr>
        <w:t>דברי הרשב"א בתוה"</w:t>
      </w:r>
      <w:r w:rsidRPr="00F37F53">
        <w:rPr>
          <w:rFonts w:hint="cs"/>
          <w:sz w:val="20"/>
          <w:szCs w:val="20"/>
          <w:rtl/>
        </w:rPr>
        <w:t>ב הקצר ב"ד סוף שער א'. ועיי"ש שהמשמעות היא אכן שהוא איסור גמור ולא רק דין הדחה לכתחילה (ומשמע קצת שההכרח הוא משום קושיית הט"ז סק"א, עיי"ש ודוק). אמנם עדיין ייתכן שבלח או בבישול, בטל ברוב, וכן נראה בדברי הרשב"א תוה"ב (ב"ד ש"ד, ל"ה., פיסקא י"א), והביאו רעק"א בגליון כאן.</w:t>
      </w:r>
    </w:p>
    <w:p w:rsidR="00445AB9" w:rsidRPr="00F37F53" w:rsidRDefault="00445AB9">
      <w:pPr>
        <w:rPr>
          <w:b/>
          <w:bCs/>
          <w:sz w:val="20"/>
          <w:szCs w:val="20"/>
          <w:rtl/>
        </w:rPr>
      </w:pPr>
      <w:r w:rsidRPr="00F37F53">
        <w:rPr>
          <w:rFonts w:hint="cs"/>
          <w:b/>
          <w:bCs/>
          <w:sz w:val="20"/>
          <w:szCs w:val="20"/>
          <w:rtl/>
        </w:rPr>
        <w:t>ג, מאכלים יבשים</w:t>
      </w:r>
    </w:p>
    <w:p w:rsidR="005D6DCC" w:rsidRPr="00F37F53" w:rsidRDefault="005D6DCC">
      <w:pPr>
        <w:rPr>
          <w:rFonts w:hint="cs"/>
          <w:sz w:val="20"/>
          <w:szCs w:val="20"/>
          <w:rtl/>
        </w:rPr>
      </w:pPr>
      <w:r w:rsidRPr="00F37F53">
        <w:rPr>
          <w:rFonts w:hint="cs"/>
          <w:sz w:val="20"/>
          <w:szCs w:val="20"/>
          <w:rtl/>
        </w:rPr>
        <w:t>עי' ש"ך סק"א בשם הב"ח שבמאכלים יבשים אין צריך הדחה. ועי' פמ"ג שם שהביא מהמחבר ס"ה שבמלוחים שאני. ועי' חוו"ד ויד יהודה מה שכתבו בזה.</w:t>
      </w:r>
    </w:p>
    <w:p w:rsidR="005D6DCC" w:rsidRPr="00F37F53" w:rsidRDefault="005D6DCC">
      <w:pPr>
        <w:rPr>
          <w:rFonts w:hint="cs"/>
          <w:b/>
          <w:bCs/>
          <w:sz w:val="20"/>
          <w:szCs w:val="20"/>
          <w:rtl/>
        </w:rPr>
      </w:pPr>
      <w:r w:rsidRPr="00F37F53">
        <w:rPr>
          <w:rFonts w:hint="cs"/>
          <w:b/>
          <w:bCs/>
          <w:sz w:val="20"/>
          <w:szCs w:val="20"/>
          <w:rtl/>
        </w:rPr>
        <w:t>ד, כלים הבלועים באיסור</w:t>
      </w:r>
    </w:p>
    <w:p w:rsidR="004E37A1" w:rsidRPr="00F37F53" w:rsidRDefault="005D6DCC" w:rsidP="004E37A1">
      <w:pPr>
        <w:rPr>
          <w:rFonts w:hint="cs"/>
          <w:sz w:val="20"/>
          <w:szCs w:val="20"/>
          <w:rtl/>
        </w:rPr>
      </w:pPr>
      <w:r w:rsidRPr="00F37F53">
        <w:rPr>
          <w:rFonts w:hint="cs"/>
          <w:sz w:val="20"/>
          <w:szCs w:val="20"/>
          <w:rtl/>
        </w:rPr>
        <w:t>הנושא הגדול שעוררו כאן דברי בעל העיטור, האם יש איסור שימוש בצונן בכלי הבלוע באיסור</w:t>
      </w:r>
      <w:r w:rsidR="004E37A1" w:rsidRPr="00F37F53">
        <w:rPr>
          <w:rFonts w:hint="cs"/>
          <w:sz w:val="20"/>
          <w:szCs w:val="20"/>
          <w:rtl/>
        </w:rPr>
        <w:t xml:space="preserve">. ובדברי הראשונים בסוגיא בפסחים ל: לכאורה אין מקור ששימוש בצונן יפליט את הבליעות שבכלי, דגם לדעות המחמירות שם, היינו דווקא בכלי חרס. </w:t>
      </w:r>
      <w:r w:rsidR="00C170E9" w:rsidRPr="00F37F53">
        <w:rPr>
          <w:rFonts w:hint="cs"/>
          <w:sz w:val="20"/>
          <w:szCs w:val="20"/>
          <w:rtl/>
        </w:rPr>
        <w:t xml:space="preserve"> אמנם עי' תוס' ע"ז ל"ב א' שמבואר בדבריו איסור שימוש בצונן לח, אך עי' בש"ך שגם התוס' מיירי בכלי חרס.    </w:t>
      </w:r>
      <w:r w:rsidR="004E37A1" w:rsidRPr="00F37F53">
        <w:rPr>
          <w:rFonts w:hint="cs"/>
          <w:sz w:val="20"/>
          <w:szCs w:val="20"/>
          <w:rtl/>
        </w:rPr>
        <w:t>וכן הוא למסקנת הש"ך, דכל הנושא</w:t>
      </w:r>
      <w:r w:rsidR="00C170E9" w:rsidRPr="00F37F53">
        <w:rPr>
          <w:rFonts w:hint="cs"/>
          <w:sz w:val="20"/>
          <w:szCs w:val="20"/>
          <w:rtl/>
        </w:rPr>
        <w:t xml:space="preserve"> כאן (אשר נאמר בכלים שאינם כלי חרס)</w:t>
      </w:r>
      <w:r w:rsidR="004E37A1" w:rsidRPr="00F37F53">
        <w:rPr>
          <w:rFonts w:hint="cs"/>
          <w:sz w:val="20"/>
          <w:szCs w:val="20"/>
          <w:rtl/>
        </w:rPr>
        <w:t xml:space="preserve"> הוא רק בקערה שאינה מודחת (ודלא כהרמ"א והט"ז).</w:t>
      </w:r>
    </w:p>
    <w:p w:rsidR="004E37A1" w:rsidRPr="00F37F53" w:rsidRDefault="004E37A1">
      <w:pPr>
        <w:rPr>
          <w:rFonts w:hint="cs"/>
          <w:sz w:val="20"/>
          <w:szCs w:val="20"/>
          <w:rtl/>
        </w:rPr>
      </w:pPr>
      <w:r w:rsidRPr="00F37F53">
        <w:rPr>
          <w:rFonts w:hint="cs"/>
          <w:sz w:val="20"/>
          <w:szCs w:val="20"/>
          <w:rtl/>
        </w:rPr>
        <w:t xml:space="preserve">ויש כאן שני נושאים: א, כיצד נבלעו הבליעות בכלי.  ב, איזה סוג של שימוש בכלי יוציא את הבליעות הבלועות בו.   והתחדש שישנם שימושים אשר מוציאים רק בליעות גמורות שנבלעו בחום ולא בליעות קלושות שנבלעו בצונן.   ויסוד לחילוק זה היא דעת הרי"ף בפסחים שם אשר שימוש בצונן יוציא את הבליעות שבלועות מחמת השאור, ולא את הבליעות שבלועות מחמת </w:t>
      </w:r>
      <w:r w:rsidR="00B93B4A" w:rsidRPr="00F37F53">
        <w:rPr>
          <w:rFonts w:hint="cs"/>
          <w:sz w:val="20"/>
          <w:szCs w:val="20"/>
          <w:rtl/>
        </w:rPr>
        <w:t>החמץ (וקצ"ע מה שהקשה הש"ך משם על דעת הרמ"א לחלק בין סוגי הבליעות).</w:t>
      </w:r>
    </w:p>
    <w:p w:rsidR="00B93B4A" w:rsidRPr="00F37F53" w:rsidRDefault="00B93B4A">
      <w:pPr>
        <w:rPr>
          <w:sz w:val="20"/>
          <w:szCs w:val="20"/>
          <w:rtl/>
        </w:rPr>
      </w:pPr>
      <w:r w:rsidRPr="00F37F53">
        <w:rPr>
          <w:rFonts w:hint="cs"/>
          <w:sz w:val="20"/>
          <w:szCs w:val="20"/>
          <w:rtl/>
        </w:rPr>
        <w:t>ובט"ז מבואר חידוש רב שבליעות על ידי צונן, כמו שאינם נפלטים על ידי צונן לח, כך אינם נפלטים על ידי חם יבש. ועי' בחוו"ד סק"ד שתמה על כך.</w:t>
      </w:r>
    </w:p>
    <w:p w:rsidR="00445AB9" w:rsidRDefault="00445AB9">
      <w:pPr>
        <w:rPr>
          <w:b/>
          <w:bCs/>
          <w:sz w:val="20"/>
          <w:szCs w:val="20"/>
          <w:rtl/>
        </w:rPr>
      </w:pPr>
    </w:p>
    <w:p w:rsidR="000C7EB7" w:rsidRDefault="000C7EB7">
      <w:pPr>
        <w:rPr>
          <w:b/>
          <w:bCs/>
          <w:sz w:val="20"/>
          <w:szCs w:val="20"/>
          <w:rtl/>
        </w:rPr>
      </w:pPr>
    </w:p>
    <w:p w:rsidR="000C7EB7" w:rsidRDefault="000C7EB7">
      <w:pPr>
        <w:rPr>
          <w:b/>
          <w:bCs/>
          <w:sz w:val="20"/>
          <w:szCs w:val="20"/>
          <w:rtl/>
        </w:rPr>
      </w:pPr>
    </w:p>
    <w:p w:rsidR="000C7EB7" w:rsidRDefault="000C7EB7">
      <w:pPr>
        <w:rPr>
          <w:b/>
          <w:bCs/>
          <w:sz w:val="20"/>
          <w:szCs w:val="20"/>
          <w:rtl/>
        </w:rPr>
      </w:pPr>
    </w:p>
    <w:p w:rsidR="000C7EB7" w:rsidRDefault="000C7EB7">
      <w:pPr>
        <w:rPr>
          <w:b/>
          <w:bCs/>
          <w:sz w:val="20"/>
          <w:szCs w:val="20"/>
          <w:rtl/>
        </w:rPr>
      </w:pPr>
    </w:p>
    <w:p w:rsidR="000C7EB7" w:rsidRDefault="000C7EB7">
      <w:pPr>
        <w:rPr>
          <w:rFonts w:hint="cs"/>
          <w:b/>
          <w:bCs/>
          <w:sz w:val="20"/>
          <w:szCs w:val="20"/>
          <w:rtl/>
        </w:rPr>
      </w:pPr>
      <w:r>
        <w:rPr>
          <w:rFonts w:hint="cs"/>
          <w:b/>
          <w:bCs/>
          <w:sz w:val="20"/>
          <w:szCs w:val="20"/>
          <w:rtl/>
        </w:rPr>
        <w:t>בעזרת השם יתברך</w:t>
      </w:r>
    </w:p>
    <w:p w:rsidR="000C7EB7" w:rsidRDefault="000C7EB7">
      <w:pPr>
        <w:rPr>
          <w:rFonts w:hint="cs"/>
          <w:sz w:val="20"/>
          <w:szCs w:val="20"/>
          <w:rtl/>
        </w:rPr>
      </w:pPr>
      <w:r>
        <w:rPr>
          <w:rFonts w:hint="cs"/>
          <w:sz w:val="20"/>
          <w:szCs w:val="20"/>
          <w:rtl/>
        </w:rPr>
        <w:t>א, האם שייך לחדש צורך של הדחה.</w:t>
      </w:r>
    </w:p>
    <w:p w:rsidR="000C7EB7" w:rsidRDefault="000C7EB7">
      <w:pPr>
        <w:rPr>
          <w:rFonts w:hint="cs"/>
          <w:sz w:val="20"/>
          <w:szCs w:val="20"/>
          <w:rtl/>
        </w:rPr>
      </w:pPr>
      <w:r>
        <w:rPr>
          <w:rFonts w:hint="cs"/>
          <w:sz w:val="20"/>
          <w:szCs w:val="20"/>
          <w:rtl/>
        </w:rPr>
        <w:t>ב, האם הדחה מעכבת בדיעבד.</w:t>
      </w:r>
    </w:p>
    <w:p w:rsidR="000C7EB7" w:rsidRDefault="000C7EB7">
      <w:pPr>
        <w:rPr>
          <w:rFonts w:hint="cs"/>
          <w:sz w:val="20"/>
          <w:szCs w:val="20"/>
          <w:rtl/>
        </w:rPr>
      </w:pPr>
      <w:r>
        <w:rPr>
          <w:rFonts w:hint="cs"/>
          <w:sz w:val="20"/>
          <w:szCs w:val="20"/>
          <w:rtl/>
        </w:rPr>
        <w:t>ג, האם כדי קליפה מעכב בדיעבד.</w:t>
      </w:r>
    </w:p>
    <w:p w:rsidR="000C7EB7" w:rsidRDefault="000C7EB7">
      <w:pPr>
        <w:rPr>
          <w:rFonts w:hint="cs"/>
          <w:sz w:val="20"/>
          <w:szCs w:val="20"/>
          <w:rtl/>
        </w:rPr>
      </w:pPr>
      <w:r>
        <w:rPr>
          <w:rFonts w:hint="cs"/>
          <w:sz w:val="20"/>
          <w:szCs w:val="20"/>
          <w:rtl/>
        </w:rPr>
        <w:t xml:space="preserve">ד, האם ישנה סתירה בדברי הט"ז לגבי הדחה. תירוץ החוו"ד. אשר מוכח מזה </w:t>
      </w:r>
      <w:r w:rsidR="00303223">
        <w:rPr>
          <w:rFonts w:hint="cs"/>
          <w:sz w:val="20"/>
          <w:szCs w:val="20"/>
          <w:rtl/>
        </w:rPr>
        <w:t>לגבי גדר היתר הדיעבד.</w:t>
      </w:r>
    </w:p>
    <w:p w:rsidR="000C7EB7" w:rsidRDefault="000C7EB7">
      <w:pPr>
        <w:rPr>
          <w:rFonts w:hint="cs"/>
          <w:sz w:val="20"/>
          <w:szCs w:val="20"/>
          <w:rtl/>
        </w:rPr>
      </w:pPr>
      <w:r>
        <w:rPr>
          <w:rFonts w:hint="cs"/>
          <w:sz w:val="20"/>
          <w:szCs w:val="20"/>
          <w:rtl/>
        </w:rPr>
        <w:t>ה, מה מוכח מהרשב"א לגבי דין הדחה לכתחילה ובדיעבד.</w:t>
      </w:r>
      <w:bookmarkStart w:id="0" w:name="_GoBack"/>
      <w:bookmarkEnd w:id="0"/>
    </w:p>
    <w:p w:rsidR="000C7EB7" w:rsidRDefault="000C7EB7">
      <w:pPr>
        <w:rPr>
          <w:rFonts w:hint="cs"/>
          <w:sz w:val="20"/>
          <w:szCs w:val="20"/>
          <w:rtl/>
        </w:rPr>
      </w:pPr>
      <w:r>
        <w:rPr>
          <w:rFonts w:hint="cs"/>
          <w:sz w:val="20"/>
          <w:szCs w:val="20"/>
          <w:rtl/>
        </w:rPr>
        <w:t xml:space="preserve">ו, הדחה בכלים </w:t>
      </w:r>
      <w:r>
        <w:rPr>
          <w:sz w:val="20"/>
          <w:szCs w:val="20"/>
          <w:rtl/>
        </w:rPr>
        <w:t>–</w:t>
      </w:r>
      <w:r>
        <w:rPr>
          <w:rFonts w:hint="cs"/>
          <w:sz w:val="20"/>
          <w:szCs w:val="20"/>
          <w:rtl/>
        </w:rPr>
        <w:t xml:space="preserve"> בירור השיטות.</w:t>
      </w:r>
    </w:p>
    <w:p w:rsidR="000C7EB7" w:rsidRDefault="000C7EB7">
      <w:pPr>
        <w:rPr>
          <w:rFonts w:hint="cs"/>
          <w:sz w:val="20"/>
          <w:szCs w:val="20"/>
          <w:rtl/>
        </w:rPr>
      </w:pPr>
      <w:r>
        <w:rPr>
          <w:rFonts w:hint="cs"/>
          <w:sz w:val="20"/>
          <w:szCs w:val="20"/>
          <w:rtl/>
        </w:rPr>
        <w:t>ז, דברים יבשים.</w:t>
      </w:r>
    </w:p>
    <w:p w:rsidR="000C7EB7" w:rsidRPr="000C7EB7" w:rsidRDefault="000C7EB7">
      <w:pPr>
        <w:rPr>
          <w:sz w:val="20"/>
          <w:szCs w:val="20"/>
        </w:rPr>
      </w:pPr>
    </w:p>
    <w:sectPr w:rsidR="000C7EB7" w:rsidRPr="000C7EB7" w:rsidSect="008D39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B8C" w:rsidRDefault="009B6B8C" w:rsidP="005B4228">
      <w:pPr>
        <w:spacing w:after="0" w:line="240" w:lineRule="auto"/>
      </w:pPr>
      <w:r>
        <w:separator/>
      </w:r>
    </w:p>
  </w:endnote>
  <w:endnote w:type="continuationSeparator" w:id="0">
    <w:p w:rsidR="009B6B8C" w:rsidRDefault="009B6B8C" w:rsidP="005B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B8C" w:rsidRDefault="009B6B8C" w:rsidP="005B4228">
      <w:pPr>
        <w:spacing w:after="0" w:line="240" w:lineRule="auto"/>
      </w:pPr>
      <w:r>
        <w:separator/>
      </w:r>
    </w:p>
  </w:footnote>
  <w:footnote w:type="continuationSeparator" w:id="0">
    <w:p w:rsidR="009B6B8C" w:rsidRDefault="009B6B8C" w:rsidP="005B42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830"/>
    <w:rsid w:val="0006509F"/>
    <w:rsid w:val="000A4B0F"/>
    <w:rsid w:val="000C1830"/>
    <w:rsid w:val="000C7EB7"/>
    <w:rsid w:val="002B0223"/>
    <w:rsid w:val="00303223"/>
    <w:rsid w:val="00312078"/>
    <w:rsid w:val="003173B6"/>
    <w:rsid w:val="003401E3"/>
    <w:rsid w:val="00445AB9"/>
    <w:rsid w:val="004E37A1"/>
    <w:rsid w:val="00583232"/>
    <w:rsid w:val="005B4228"/>
    <w:rsid w:val="005D6DCC"/>
    <w:rsid w:val="00664F8E"/>
    <w:rsid w:val="007B4846"/>
    <w:rsid w:val="008D39E8"/>
    <w:rsid w:val="008E35DA"/>
    <w:rsid w:val="00944B2E"/>
    <w:rsid w:val="009B6B8C"/>
    <w:rsid w:val="00A6755F"/>
    <w:rsid w:val="00B10EC7"/>
    <w:rsid w:val="00B71C30"/>
    <w:rsid w:val="00B93B4A"/>
    <w:rsid w:val="00BB5F7D"/>
    <w:rsid w:val="00BC4064"/>
    <w:rsid w:val="00C170E9"/>
    <w:rsid w:val="00D32D35"/>
    <w:rsid w:val="00D61FCF"/>
    <w:rsid w:val="00DA6D9D"/>
    <w:rsid w:val="00EC6EB7"/>
    <w:rsid w:val="00F37F53"/>
    <w:rsid w:val="00F405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5972"/>
  <w15:chartTrackingRefBased/>
  <w15:docId w15:val="{2104288C-2B02-4053-A8E9-AB4332FE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228"/>
    <w:pPr>
      <w:tabs>
        <w:tab w:val="center" w:pos="4153"/>
        <w:tab w:val="right" w:pos="8306"/>
      </w:tabs>
      <w:spacing w:after="0" w:line="240" w:lineRule="auto"/>
    </w:pPr>
  </w:style>
  <w:style w:type="character" w:customStyle="1" w:styleId="a4">
    <w:name w:val="כותרת עליונה תו"/>
    <w:basedOn w:val="a0"/>
    <w:link w:val="a3"/>
    <w:uiPriority w:val="99"/>
    <w:rsid w:val="005B4228"/>
  </w:style>
  <w:style w:type="paragraph" w:styleId="a5">
    <w:name w:val="footer"/>
    <w:basedOn w:val="a"/>
    <w:link w:val="a6"/>
    <w:uiPriority w:val="99"/>
    <w:unhideWhenUsed/>
    <w:rsid w:val="005B4228"/>
    <w:pPr>
      <w:tabs>
        <w:tab w:val="center" w:pos="4153"/>
        <w:tab w:val="right" w:pos="8306"/>
      </w:tabs>
      <w:spacing w:after="0" w:line="240" w:lineRule="auto"/>
    </w:pPr>
  </w:style>
  <w:style w:type="character" w:customStyle="1" w:styleId="a6">
    <w:name w:val="כותרת תחתונה תו"/>
    <w:basedOn w:val="a0"/>
    <w:link w:val="a5"/>
    <w:uiPriority w:val="99"/>
    <w:rsid w:val="005B4228"/>
  </w:style>
  <w:style w:type="paragraph" w:styleId="a7">
    <w:name w:val="Balloon Text"/>
    <w:basedOn w:val="a"/>
    <w:link w:val="a8"/>
    <w:uiPriority w:val="99"/>
    <w:semiHidden/>
    <w:unhideWhenUsed/>
    <w:rsid w:val="000C7EB7"/>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0C7EB7"/>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2976</TotalTime>
  <Pages>3</Pages>
  <Words>785</Words>
  <Characters>3927</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11</cp:revision>
  <cp:lastPrinted>2020-07-01T07:34:00Z</cp:lastPrinted>
  <dcterms:created xsi:type="dcterms:W3CDTF">2020-06-25T09:58:00Z</dcterms:created>
  <dcterms:modified xsi:type="dcterms:W3CDTF">2020-07-02T01:36:00Z</dcterms:modified>
</cp:coreProperties>
</file>