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35" w:rsidRPr="009E65DB" w:rsidRDefault="00266E48">
      <w:pPr>
        <w:rPr>
          <w:sz w:val="20"/>
          <w:szCs w:val="20"/>
          <w:rtl/>
        </w:rPr>
      </w:pPr>
      <w:r w:rsidRPr="009E65DB">
        <w:rPr>
          <w:rFonts w:hint="cs"/>
          <w:sz w:val="20"/>
          <w:szCs w:val="20"/>
          <w:rtl/>
        </w:rPr>
        <w:t>בעזרת השם יתברך</w:t>
      </w:r>
    </w:p>
    <w:p w:rsidR="00266E48" w:rsidRPr="009E65DB" w:rsidRDefault="00964753" w:rsidP="00964753">
      <w:pPr>
        <w:tabs>
          <w:tab w:val="center" w:pos="4153"/>
          <w:tab w:val="left" w:pos="7031"/>
        </w:tabs>
        <w:rPr>
          <w:b/>
          <w:bCs/>
          <w:sz w:val="20"/>
          <w:szCs w:val="20"/>
          <w:rtl/>
        </w:rPr>
      </w:pPr>
      <w:r>
        <w:rPr>
          <w:b/>
          <w:bCs/>
          <w:sz w:val="20"/>
          <w:szCs w:val="20"/>
          <w:rtl/>
        </w:rPr>
        <w:tab/>
      </w:r>
      <w:r w:rsidR="009E65DB" w:rsidRPr="009E65DB">
        <w:rPr>
          <w:rFonts w:hint="cs"/>
          <w:b/>
          <w:bCs/>
          <w:sz w:val="20"/>
          <w:szCs w:val="20"/>
          <w:rtl/>
        </w:rPr>
        <w:t xml:space="preserve">יורה דעה צ"ו </w:t>
      </w:r>
      <w:r w:rsidR="009E65DB" w:rsidRPr="009E65DB">
        <w:rPr>
          <w:b/>
          <w:bCs/>
          <w:sz w:val="20"/>
          <w:szCs w:val="20"/>
          <w:rtl/>
        </w:rPr>
        <w:t>–</w:t>
      </w:r>
      <w:r w:rsidR="009E65DB" w:rsidRPr="009E65DB">
        <w:rPr>
          <w:rFonts w:hint="cs"/>
          <w:b/>
          <w:bCs/>
          <w:sz w:val="20"/>
          <w:szCs w:val="20"/>
          <w:rtl/>
        </w:rPr>
        <w:t xml:space="preserve"> ציונים ומראי מקומות לריש הסימן</w:t>
      </w:r>
      <w:r>
        <w:rPr>
          <w:b/>
          <w:bCs/>
          <w:sz w:val="20"/>
          <w:szCs w:val="20"/>
          <w:rtl/>
        </w:rPr>
        <w:tab/>
      </w:r>
      <w:r>
        <w:rPr>
          <w:rFonts w:hint="cs"/>
          <w:b/>
          <w:bCs/>
          <w:sz w:val="20"/>
          <w:szCs w:val="20"/>
          <w:rtl/>
        </w:rPr>
        <w:t xml:space="preserve"> </w:t>
      </w:r>
      <w:bookmarkStart w:id="0" w:name="_GoBack"/>
      <w:bookmarkEnd w:id="0"/>
    </w:p>
    <w:p w:rsidR="009E65DB" w:rsidRPr="009E65DB" w:rsidRDefault="00266E48" w:rsidP="00FE7E90">
      <w:pPr>
        <w:rPr>
          <w:b/>
          <w:bCs/>
          <w:i/>
          <w:iCs/>
          <w:sz w:val="20"/>
          <w:szCs w:val="20"/>
          <w:rtl/>
        </w:rPr>
      </w:pPr>
      <w:r w:rsidRPr="009E65DB">
        <w:rPr>
          <w:rFonts w:hint="cs"/>
          <w:b/>
          <w:bCs/>
          <w:sz w:val="20"/>
          <w:szCs w:val="20"/>
          <w:rtl/>
        </w:rPr>
        <w:t xml:space="preserve">א, </w:t>
      </w:r>
      <w:r w:rsidR="00FE7E90" w:rsidRPr="009E65DB">
        <w:rPr>
          <w:rFonts w:hint="cs"/>
          <w:b/>
          <w:bCs/>
          <w:sz w:val="20"/>
          <w:szCs w:val="20"/>
          <w:rtl/>
        </w:rPr>
        <w:t xml:space="preserve">היתר על ידי טעימה </w:t>
      </w:r>
      <w:r w:rsidR="00FE7E90" w:rsidRPr="009E65DB">
        <w:rPr>
          <w:rFonts w:hint="cs"/>
          <w:b/>
          <w:bCs/>
          <w:i/>
          <w:iCs/>
          <w:sz w:val="20"/>
          <w:szCs w:val="20"/>
          <w:rtl/>
        </w:rPr>
        <w:t xml:space="preserve">    </w:t>
      </w:r>
    </w:p>
    <w:p w:rsidR="00266E48" w:rsidRPr="009E65DB" w:rsidRDefault="00FE7E90" w:rsidP="00FE7E90">
      <w:pPr>
        <w:rPr>
          <w:sz w:val="20"/>
          <w:szCs w:val="20"/>
          <w:u w:val="single"/>
          <w:rtl/>
        </w:rPr>
      </w:pPr>
      <w:r w:rsidRPr="009E65DB">
        <w:rPr>
          <w:rFonts w:hint="cs"/>
          <w:b/>
          <w:bCs/>
          <w:i/>
          <w:iCs/>
          <w:sz w:val="20"/>
          <w:szCs w:val="20"/>
          <w:u w:val="single"/>
          <w:rtl/>
        </w:rPr>
        <w:t xml:space="preserve">[כדאי לראות את הגמ' בעניין: </w:t>
      </w:r>
      <w:r w:rsidR="009E65DB" w:rsidRPr="009E65DB">
        <w:rPr>
          <w:rFonts w:hint="cs"/>
          <w:b/>
          <w:bCs/>
          <w:i/>
          <w:iCs/>
          <w:sz w:val="20"/>
          <w:szCs w:val="20"/>
          <w:u w:val="single"/>
          <w:rtl/>
        </w:rPr>
        <w:t xml:space="preserve">חולין </w:t>
      </w:r>
      <w:r w:rsidRPr="009E65DB">
        <w:rPr>
          <w:rFonts w:hint="cs"/>
          <w:b/>
          <w:bCs/>
          <w:i/>
          <w:iCs/>
          <w:sz w:val="20"/>
          <w:szCs w:val="20"/>
          <w:u w:val="single"/>
          <w:rtl/>
        </w:rPr>
        <w:t>קי"א ב' "יתיב רב כהנא</w:t>
      </w:r>
      <w:r w:rsidR="009E65DB" w:rsidRPr="009E65DB">
        <w:rPr>
          <w:rFonts w:hint="cs"/>
          <w:b/>
          <w:bCs/>
          <w:i/>
          <w:iCs/>
          <w:sz w:val="20"/>
          <w:szCs w:val="20"/>
          <w:u w:val="single"/>
          <w:rtl/>
        </w:rPr>
        <w:t>"</w:t>
      </w:r>
      <w:r w:rsidRPr="009E65DB">
        <w:rPr>
          <w:rFonts w:hint="cs"/>
          <w:b/>
          <w:bCs/>
          <w:i/>
          <w:iCs/>
          <w:sz w:val="20"/>
          <w:szCs w:val="20"/>
          <w:u w:val="single"/>
          <w:rtl/>
        </w:rPr>
        <w:t xml:space="preserve"> וכו' </w:t>
      </w:r>
      <w:r w:rsidRPr="009E65DB">
        <w:rPr>
          <w:b/>
          <w:bCs/>
          <w:i/>
          <w:iCs/>
          <w:sz w:val="20"/>
          <w:szCs w:val="20"/>
          <w:u w:val="single"/>
          <w:rtl/>
        </w:rPr>
        <w:t>–</w:t>
      </w:r>
      <w:r w:rsidRPr="009E65DB">
        <w:rPr>
          <w:rFonts w:hint="cs"/>
          <w:b/>
          <w:bCs/>
          <w:i/>
          <w:iCs/>
          <w:sz w:val="20"/>
          <w:szCs w:val="20"/>
          <w:u w:val="single"/>
          <w:rtl/>
        </w:rPr>
        <w:t xml:space="preserve"> עד </w:t>
      </w:r>
      <w:r w:rsidR="009E65DB" w:rsidRPr="009E65DB">
        <w:rPr>
          <w:rFonts w:hint="cs"/>
          <w:b/>
          <w:bCs/>
          <w:i/>
          <w:iCs/>
          <w:sz w:val="20"/>
          <w:szCs w:val="20"/>
          <w:u w:val="single"/>
          <w:rtl/>
        </w:rPr>
        <w:t>הנקודותיים. התוס' שם והמהר"ם שעליו]</w:t>
      </w:r>
    </w:p>
    <w:p w:rsidR="009E65DB" w:rsidRPr="009E65DB" w:rsidRDefault="009E65DB" w:rsidP="00FE7E90">
      <w:pPr>
        <w:rPr>
          <w:sz w:val="20"/>
          <w:szCs w:val="20"/>
          <w:rtl/>
        </w:rPr>
      </w:pPr>
      <w:r w:rsidRPr="009E65DB">
        <w:rPr>
          <w:rFonts w:hint="cs"/>
          <w:sz w:val="20"/>
          <w:szCs w:val="20"/>
          <w:rtl/>
        </w:rPr>
        <w:t>המחלוקת האם אפשר לסמוך על הטעימה לכתחילה (כדעת המחבר), או שהיינו רק בדיעבד (כדעת הרמ"</w:t>
      </w:r>
      <w:r w:rsidR="00362D28">
        <w:rPr>
          <w:rFonts w:hint="cs"/>
          <w:sz w:val="20"/>
          <w:szCs w:val="20"/>
          <w:rtl/>
        </w:rPr>
        <w:t>א מהרש"ל וש"ך).  ראה ש"ך סק"ה</w:t>
      </w:r>
      <w:r w:rsidRPr="009E65DB">
        <w:rPr>
          <w:rFonts w:hint="cs"/>
          <w:sz w:val="20"/>
          <w:szCs w:val="20"/>
          <w:rtl/>
        </w:rPr>
        <w:t>, ועי' ב"ארוך משך" סוף סי' צ"ה מה שכתב בטעם האיסור לכתחילה (ודבריו צריכים ביאור רב), וראה רעק"א על הש"ך כאן.   ודוק שמבוארים כאן ג' טעמים אמאי לא לסמוך על הטעימה לכתחילה, שניים מעיקר הדין ואחד מחמת חומרא.</w:t>
      </w:r>
    </w:p>
    <w:p w:rsidR="009E65DB" w:rsidRPr="009E65DB" w:rsidRDefault="00362D28" w:rsidP="00FE7E90">
      <w:pPr>
        <w:rPr>
          <w:sz w:val="20"/>
          <w:szCs w:val="20"/>
          <w:rtl/>
        </w:rPr>
      </w:pPr>
      <w:r>
        <w:rPr>
          <w:rFonts w:hint="cs"/>
          <w:sz w:val="20"/>
          <w:szCs w:val="20"/>
          <w:rtl/>
        </w:rPr>
        <w:t>[</w:t>
      </w:r>
      <w:r w:rsidR="009E65DB" w:rsidRPr="009E65DB">
        <w:rPr>
          <w:rFonts w:hint="cs"/>
          <w:sz w:val="20"/>
          <w:szCs w:val="20"/>
          <w:rtl/>
        </w:rPr>
        <w:t>ועי' פר"ח שהוכיח נגד הש"ך מלישנא דגמ', וכנראה שלא ראה את הארוך משך בפנים.</w:t>
      </w:r>
      <w:r>
        <w:rPr>
          <w:rFonts w:hint="cs"/>
          <w:sz w:val="20"/>
          <w:szCs w:val="20"/>
          <w:rtl/>
        </w:rPr>
        <w:t>]</w:t>
      </w:r>
    </w:p>
    <w:p w:rsidR="00266E48" w:rsidRPr="009E65DB" w:rsidRDefault="00B72CDF" w:rsidP="00FE7E90">
      <w:pPr>
        <w:tabs>
          <w:tab w:val="left" w:pos="5201"/>
        </w:tabs>
        <w:rPr>
          <w:b/>
          <w:bCs/>
          <w:sz w:val="20"/>
          <w:szCs w:val="20"/>
          <w:rtl/>
        </w:rPr>
      </w:pPr>
      <w:r w:rsidRPr="009E65DB">
        <w:rPr>
          <w:rFonts w:hint="cs"/>
          <w:b/>
          <w:bCs/>
          <w:sz w:val="20"/>
          <w:szCs w:val="20"/>
          <w:rtl/>
        </w:rPr>
        <w:t>ב,</w:t>
      </w:r>
      <w:r w:rsidR="00266E48" w:rsidRPr="009E65DB">
        <w:rPr>
          <w:rFonts w:hint="cs"/>
          <w:b/>
          <w:bCs/>
          <w:sz w:val="20"/>
          <w:szCs w:val="20"/>
          <w:rtl/>
        </w:rPr>
        <w:t xml:space="preserve"> תועלת החריפות לנ"ט בר נ"ט</w:t>
      </w:r>
      <w:r w:rsidR="00FE7E90" w:rsidRPr="009E65DB">
        <w:rPr>
          <w:b/>
          <w:bCs/>
          <w:sz w:val="20"/>
          <w:szCs w:val="20"/>
          <w:rtl/>
        </w:rPr>
        <w:tab/>
      </w:r>
    </w:p>
    <w:p w:rsidR="006F7CF9" w:rsidRPr="009E65DB" w:rsidRDefault="00266E48" w:rsidP="00266E48">
      <w:pPr>
        <w:rPr>
          <w:sz w:val="20"/>
          <w:szCs w:val="20"/>
          <w:rtl/>
        </w:rPr>
      </w:pPr>
      <w:r w:rsidRPr="009E65DB">
        <w:rPr>
          <w:rFonts w:hint="cs"/>
          <w:sz w:val="20"/>
          <w:szCs w:val="20"/>
          <w:rtl/>
        </w:rPr>
        <w:t>הנה מצאנו שחריפות מועילה הן לגבי נטל"פ (כהגמ' בע"ז לגבי חילתית, והסתפקו הראשונים האם כן הוא לגבי שאר דבר חריף</w:t>
      </w:r>
      <w:r w:rsidR="004D6FCC" w:rsidRPr="009E65DB">
        <w:rPr>
          <w:rFonts w:hint="cs"/>
          <w:sz w:val="20"/>
          <w:szCs w:val="20"/>
          <w:rtl/>
        </w:rPr>
        <w:t>, והביא המחבר חומרא זו בשם יש אומרים</w:t>
      </w:r>
      <w:r w:rsidRPr="009E65DB">
        <w:rPr>
          <w:rFonts w:hint="cs"/>
          <w:sz w:val="20"/>
          <w:szCs w:val="20"/>
          <w:rtl/>
        </w:rPr>
        <w:t xml:space="preserve">), והן לגבי נ"ט בר נ"ט (כפירושו השני של רש"י בצנון, ונפסק כן בשו"ע). אמנם כל מעיין יבחין שלכאורה אינם מאותו עניין. </w:t>
      </w:r>
      <w:r w:rsidR="006F7CF9" w:rsidRPr="009E65DB">
        <w:rPr>
          <w:rFonts w:hint="cs"/>
          <w:sz w:val="20"/>
          <w:szCs w:val="20"/>
          <w:rtl/>
        </w:rPr>
        <w:t xml:space="preserve">            </w:t>
      </w:r>
    </w:p>
    <w:p w:rsidR="006F7CF9" w:rsidRPr="009E65DB" w:rsidRDefault="00266E48" w:rsidP="009E65DB">
      <w:pPr>
        <w:rPr>
          <w:sz w:val="20"/>
          <w:szCs w:val="20"/>
          <w:rtl/>
        </w:rPr>
      </w:pPr>
      <w:r w:rsidRPr="009E65DB">
        <w:rPr>
          <w:rFonts w:hint="cs"/>
          <w:sz w:val="20"/>
          <w:szCs w:val="20"/>
          <w:rtl/>
        </w:rPr>
        <w:t xml:space="preserve">דלגבי נטל"פ </w:t>
      </w:r>
      <w:r w:rsidRPr="009E65DB">
        <w:rPr>
          <w:sz w:val="20"/>
          <w:szCs w:val="20"/>
          <w:rtl/>
        </w:rPr>
        <w:t>–</w:t>
      </w:r>
      <w:r w:rsidRPr="009E65DB">
        <w:rPr>
          <w:rFonts w:hint="cs"/>
          <w:sz w:val="20"/>
          <w:szCs w:val="20"/>
          <w:rtl/>
        </w:rPr>
        <w:t xml:space="preserve"> האיסור נשאר בעינו, ו</w:t>
      </w:r>
      <w:r w:rsidR="006F7CF9" w:rsidRPr="009E65DB">
        <w:rPr>
          <w:rFonts w:hint="cs"/>
          <w:sz w:val="20"/>
          <w:szCs w:val="20"/>
          <w:rtl/>
        </w:rPr>
        <w:t>החסרון הוא שטעמו נפגם ושוב אינו</w:t>
      </w:r>
      <w:r w:rsidRPr="009E65DB">
        <w:rPr>
          <w:rFonts w:hint="cs"/>
          <w:sz w:val="20"/>
          <w:szCs w:val="20"/>
          <w:rtl/>
        </w:rPr>
        <w:t xml:space="preserve"> נותן טעם, ומועילה החריפות לתקן את טעמו.</w:t>
      </w:r>
      <w:r w:rsidR="009E65DB">
        <w:rPr>
          <w:rFonts w:hint="cs"/>
          <w:sz w:val="20"/>
          <w:szCs w:val="20"/>
          <w:rtl/>
        </w:rPr>
        <w:t xml:space="preserve">                 </w:t>
      </w:r>
      <w:r w:rsidRPr="009E65DB">
        <w:rPr>
          <w:rFonts w:hint="cs"/>
          <w:sz w:val="20"/>
          <w:szCs w:val="20"/>
          <w:rtl/>
        </w:rPr>
        <w:t xml:space="preserve">אבל לגבי נ"ט בר נ"ט </w:t>
      </w:r>
      <w:r w:rsidRPr="009E65DB">
        <w:rPr>
          <w:sz w:val="20"/>
          <w:szCs w:val="20"/>
          <w:rtl/>
        </w:rPr>
        <w:t>–</w:t>
      </w:r>
      <w:r w:rsidRPr="009E65DB">
        <w:rPr>
          <w:rFonts w:hint="cs"/>
          <w:sz w:val="20"/>
          <w:szCs w:val="20"/>
          <w:rtl/>
        </w:rPr>
        <w:t xml:space="preserve"> הרי ריבוי נתינות הטעם מקליש את מהות הבליעות עצמן, ועל כן לא מצליח לחול עליהן איסור. ובזה לא יועיל מה שהחריפות תחזק את טעמן, ובהכרח תועלתן היא כביאור הרש"</w:t>
      </w:r>
      <w:r w:rsidR="004B40FF" w:rsidRPr="009E65DB">
        <w:rPr>
          <w:rFonts w:hint="cs"/>
          <w:sz w:val="20"/>
          <w:szCs w:val="20"/>
          <w:rtl/>
        </w:rPr>
        <w:t>י</w:t>
      </w:r>
      <w:r w:rsidR="00F76BC3" w:rsidRPr="009E65DB">
        <w:rPr>
          <w:rFonts w:hint="cs"/>
          <w:sz w:val="20"/>
          <w:szCs w:val="20"/>
          <w:rtl/>
        </w:rPr>
        <w:t xml:space="preserve">, שעל ידי החריפות "בלע טפי", והיינו שבולע את הטעם בשלמותו ואין עוד הקלשה של הטעם בבליעה החדשה. </w:t>
      </w:r>
      <w:r w:rsidR="004D6FCC" w:rsidRPr="009E65DB">
        <w:rPr>
          <w:rFonts w:hint="cs"/>
          <w:sz w:val="20"/>
          <w:szCs w:val="20"/>
          <w:rtl/>
        </w:rPr>
        <w:t>[ואין כאן נושא מצד "טעם" החריפות</w:t>
      </w:r>
      <w:r w:rsidR="002E5BEF">
        <w:rPr>
          <w:rFonts w:hint="cs"/>
          <w:sz w:val="20"/>
          <w:szCs w:val="20"/>
          <w:rtl/>
        </w:rPr>
        <w:t xml:space="preserve"> (כבנטל"פ)</w:t>
      </w:r>
      <w:r w:rsidR="004D6FCC" w:rsidRPr="009E65DB">
        <w:rPr>
          <w:rFonts w:hint="cs"/>
          <w:sz w:val="20"/>
          <w:szCs w:val="20"/>
          <w:rtl/>
        </w:rPr>
        <w:t>, אלא מצד תכונתו של "הדבר החריף" לבלוע טפי.</w:t>
      </w:r>
      <w:r w:rsidR="00D93142">
        <w:rPr>
          <w:rFonts w:hint="cs"/>
          <w:sz w:val="20"/>
          <w:szCs w:val="20"/>
          <w:rtl/>
        </w:rPr>
        <w:t xml:space="preserve"> ועי' בפמ"ג משב"ז סק"א שמצדד שמה שבישול מפקיע חריפות היינו דווקא לגבי תיקון נטל"פ. אבל לגבי נ"ט בר נ"ט, גם לאחר שקהה הטעם, עדיין נשארה תכונת האוכל לבלוע טפי.</w:t>
      </w:r>
      <w:r w:rsidR="004D6FCC" w:rsidRPr="009E65DB">
        <w:rPr>
          <w:rFonts w:hint="cs"/>
          <w:sz w:val="20"/>
          <w:szCs w:val="20"/>
          <w:rtl/>
        </w:rPr>
        <w:t xml:space="preserve">] </w:t>
      </w:r>
      <w:r w:rsidR="00F76BC3" w:rsidRPr="009E65DB">
        <w:rPr>
          <w:rFonts w:hint="cs"/>
          <w:sz w:val="20"/>
          <w:szCs w:val="20"/>
          <w:rtl/>
        </w:rPr>
        <w:t xml:space="preserve">    ונפ"מ שכל מה שמועילה החריפות לנ"ט בר נ"ט הוא רק שלא יהפך להיות נ"ט בר נ"ט, אבל במקרה שכבר נהפך לנ"ט בר נ"ט, לא תועיל החריפות לחזור ולחזק את הטעם, כך היה נראה לכאורה.   אמנם עי' בפמ"ג ש"ד סוס"ק ב' שמבואר בדבריו לכאורה שהחריפות מועילה להחזיר את הטעם השני להיות טעם ראשון, ועי' ברעק"א שחלק עליו מסברא.   ועי' עוד בפרי תואר בסימן, ס"ק א' שמבואר מדבריו שהשווה את תועלת החריפות לגבי נטל"פ, לתועלת החריפות לגבי נ"ט בר נ"ט. </w:t>
      </w:r>
    </w:p>
    <w:p w:rsidR="00266E48" w:rsidRPr="009E65DB" w:rsidRDefault="006F7CF9" w:rsidP="00F76BC3">
      <w:pPr>
        <w:rPr>
          <w:sz w:val="20"/>
          <w:szCs w:val="20"/>
          <w:rtl/>
        </w:rPr>
      </w:pPr>
      <w:r w:rsidRPr="009E65DB">
        <w:rPr>
          <w:rFonts w:hint="cs"/>
          <w:sz w:val="20"/>
          <w:szCs w:val="20"/>
          <w:rtl/>
        </w:rPr>
        <w:t xml:space="preserve">וראה בתשובת </w:t>
      </w:r>
      <w:r w:rsidR="00362D28">
        <w:rPr>
          <w:rFonts w:hint="cs"/>
          <w:sz w:val="20"/>
          <w:szCs w:val="20"/>
          <w:rtl/>
        </w:rPr>
        <w:t>הרשב"א המובאת בב"י שמבואר לכאורה בדבריו (עי' בתשובה בפנים)</w:t>
      </w:r>
      <w:r w:rsidRPr="009E65DB">
        <w:rPr>
          <w:rFonts w:hint="cs"/>
          <w:sz w:val="20"/>
          <w:szCs w:val="20"/>
          <w:rtl/>
        </w:rPr>
        <w:t xml:space="preserve"> שכלי ישן שהשתמשו בו בדבר חריף, נעשה כחדש גם לגבי הבישולים הבאים של אותו יום</w:t>
      </w:r>
      <w:r w:rsidR="00362D28">
        <w:rPr>
          <w:rFonts w:hint="cs"/>
          <w:sz w:val="20"/>
          <w:szCs w:val="20"/>
          <w:rtl/>
        </w:rPr>
        <w:t xml:space="preserve"> (אמנם להלכה אינו כן, ראה ש"ך סי' קכ"ב</w:t>
      </w:r>
      <w:r w:rsidR="005177A8">
        <w:rPr>
          <w:rFonts w:hint="cs"/>
          <w:sz w:val="20"/>
          <w:szCs w:val="20"/>
          <w:rtl/>
        </w:rPr>
        <w:t xml:space="preserve"> בשם דרכי משה</w:t>
      </w:r>
      <w:r w:rsidR="007C3E77">
        <w:rPr>
          <w:rFonts w:hint="cs"/>
          <w:sz w:val="20"/>
          <w:szCs w:val="20"/>
          <w:rtl/>
        </w:rPr>
        <w:t xml:space="preserve"> בשם איסור והיתר הארוך</w:t>
      </w:r>
      <w:r w:rsidR="00362D28">
        <w:rPr>
          <w:rFonts w:hint="cs"/>
          <w:sz w:val="20"/>
          <w:szCs w:val="20"/>
          <w:rtl/>
        </w:rPr>
        <w:t>)</w:t>
      </w:r>
      <w:r w:rsidRPr="009E65DB">
        <w:rPr>
          <w:rFonts w:hint="cs"/>
          <w:sz w:val="20"/>
          <w:szCs w:val="20"/>
          <w:rtl/>
        </w:rPr>
        <w:t>. ולכאורה שייך זה רק לגבי נטל"פ (משום שהבליעות הישנות התחזק טעמן על ידי הבליעות החריפות שהצטרפו אליהן) אבל לגבי נ"ט בר נ"ט ודאי לא נימא שמועיל דבר זה גם לבישולים הבאים.</w:t>
      </w:r>
    </w:p>
    <w:p w:rsidR="00F07C6C" w:rsidRPr="009E65DB" w:rsidRDefault="00B72CDF" w:rsidP="00F76BC3">
      <w:pPr>
        <w:rPr>
          <w:b/>
          <w:bCs/>
          <w:sz w:val="20"/>
          <w:szCs w:val="20"/>
          <w:rtl/>
        </w:rPr>
      </w:pPr>
      <w:r w:rsidRPr="009E65DB">
        <w:rPr>
          <w:rFonts w:hint="cs"/>
          <w:b/>
          <w:bCs/>
          <w:sz w:val="20"/>
          <w:szCs w:val="20"/>
          <w:rtl/>
        </w:rPr>
        <w:t>ג, האם שמנונית נכנסת יותר מכדי קליפה</w:t>
      </w:r>
    </w:p>
    <w:p w:rsidR="00B72CDF" w:rsidRPr="009E65DB" w:rsidRDefault="00B72CDF" w:rsidP="00F76BC3">
      <w:pPr>
        <w:rPr>
          <w:sz w:val="20"/>
          <w:szCs w:val="20"/>
          <w:rtl/>
        </w:rPr>
      </w:pPr>
      <w:r w:rsidRPr="009E65DB">
        <w:rPr>
          <w:rFonts w:hint="cs"/>
          <w:sz w:val="20"/>
          <w:szCs w:val="20"/>
          <w:rtl/>
        </w:rPr>
        <w:t>עי' בט"ז סק"א מה שהקשה סתירה לסימן צ"ד ס"ז</w:t>
      </w:r>
      <w:r w:rsidR="00DF4C02">
        <w:rPr>
          <w:rFonts w:hint="cs"/>
          <w:sz w:val="20"/>
          <w:szCs w:val="20"/>
          <w:rtl/>
        </w:rPr>
        <w:t xml:space="preserve"> ומה שתירץ</w:t>
      </w:r>
      <w:r w:rsidRPr="009E65DB">
        <w:rPr>
          <w:rFonts w:hint="cs"/>
          <w:sz w:val="20"/>
          <w:szCs w:val="20"/>
          <w:rtl/>
        </w:rPr>
        <w:t>, ועי' לעיל שם בש"ך סקכ"ט, מה שתירץ בזה תירוץ מחודש.</w:t>
      </w:r>
    </w:p>
    <w:p w:rsidR="00B72CDF" w:rsidRPr="009E65DB" w:rsidRDefault="00B72CDF" w:rsidP="00B72CDF">
      <w:pPr>
        <w:rPr>
          <w:b/>
          <w:bCs/>
          <w:sz w:val="20"/>
          <w:szCs w:val="20"/>
          <w:rtl/>
        </w:rPr>
      </w:pPr>
      <w:r w:rsidRPr="009E65DB">
        <w:rPr>
          <w:rFonts w:hint="cs"/>
          <w:b/>
          <w:bCs/>
          <w:sz w:val="20"/>
          <w:szCs w:val="20"/>
          <w:rtl/>
        </w:rPr>
        <w:t>ד, האם אמרינן חנ"ן בהיתר שבלע בשר בחלב</w:t>
      </w:r>
    </w:p>
    <w:p w:rsidR="005111CC" w:rsidRPr="009E65DB" w:rsidRDefault="00B72CDF" w:rsidP="00B72CDF">
      <w:pPr>
        <w:rPr>
          <w:sz w:val="20"/>
          <w:szCs w:val="20"/>
          <w:rtl/>
        </w:rPr>
      </w:pPr>
      <w:r w:rsidRPr="009E65DB">
        <w:rPr>
          <w:rFonts w:hint="cs"/>
          <w:sz w:val="20"/>
          <w:szCs w:val="20"/>
          <w:rtl/>
        </w:rPr>
        <w:t>לדעת הראשונים של"א חנ"ן בשאר איסורים, נחלקו הדעות האם אמרינן חנ"ן</w:t>
      </w:r>
      <w:r w:rsidR="006E3A40" w:rsidRPr="009E65DB">
        <w:rPr>
          <w:rFonts w:hint="cs"/>
          <w:sz w:val="20"/>
          <w:szCs w:val="20"/>
          <w:rtl/>
        </w:rPr>
        <w:t xml:space="preserve"> בהיתר שבלע</w:t>
      </w:r>
      <w:r w:rsidR="00CB0986" w:rsidRPr="009E65DB">
        <w:rPr>
          <w:rFonts w:hint="cs"/>
          <w:sz w:val="20"/>
          <w:szCs w:val="20"/>
          <w:rtl/>
        </w:rPr>
        <w:t xml:space="preserve"> בליעות א</w:t>
      </w:r>
      <w:r w:rsidR="009E65DB">
        <w:rPr>
          <w:rFonts w:hint="cs"/>
          <w:sz w:val="20"/>
          <w:szCs w:val="20"/>
          <w:rtl/>
        </w:rPr>
        <w:t>סורות של בשר בחלב, והנפ"מ בסוגיין</w:t>
      </w:r>
      <w:r w:rsidR="00CB0986" w:rsidRPr="009E65DB">
        <w:rPr>
          <w:rFonts w:hint="cs"/>
          <w:sz w:val="20"/>
          <w:szCs w:val="20"/>
          <w:rtl/>
        </w:rPr>
        <w:t>, לגבי סכין הבלוע בב"ח אסורים</w:t>
      </w:r>
      <w:r w:rsidR="009E65DB">
        <w:rPr>
          <w:rFonts w:hint="cs"/>
          <w:sz w:val="20"/>
          <w:szCs w:val="20"/>
          <w:rtl/>
        </w:rPr>
        <w:t>, האם יתחנ"ן הצנון מחמת הבליעות שבלע</w:t>
      </w:r>
      <w:r w:rsidR="00CB0986" w:rsidRPr="009E65DB">
        <w:rPr>
          <w:rFonts w:hint="cs"/>
          <w:sz w:val="20"/>
          <w:szCs w:val="20"/>
          <w:rtl/>
        </w:rPr>
        <w:t>, ואם יבשלוהו, יצטרכו לשער כנ</w:t>
      </w:r>
      <w:r w:rsidR="009E65DB">
        <w:rPr>
          <w:rFonts w:hint="cs"/>
          <w:sz w:val="20"/>
          <w:szCs w:val="20"/>
          <w:rtl/>
        </w:rPr>
        <w:t>גדו ולא רק כנגד הבליעות שבו.</w:t>
      </w:r>
    </w:p>
    <w:p w:rsidR="00AC337B" w:rsidRPr="009E65DB" w:rsidRDefault="005111CC" w:rsidP="00AC337B">
      <w:pPr>
        <w:rPr>
          <w:sz w:val="20"/>
          <w:szCs w:val="20"/>
          <w:rtl/>
        </w:rPr>
      </w:pPr>
      <w:r w:rsidRPr="009E65DB">
        <w:rPr>
          <w:rFonts w:hint="cs"/>
          <w:sz w:val="20"/>
          <w:szCs w:val="20"/>
          <w:rtl/>
        </w:rPr>
        <w:t>וכאן מגיעה הקושיא היאך פסק המחבר שסכין של גוי הוא כסכין הבלוע בשר, הלא בסכין של גוי ישנן גם בליעות של בב"ח,</w:t>
      </w:r>
      <w:r w:rsidR="009E65DB">
        <w:rPr>
          <w:rFonts w:hint="cs"/>
          <w:sz w:val="20"/>
          <w:szCs w:val="20"/>
          <w:rtl/>
        </w:rPr>
        <w:t xml:space="preserve"> וממילא כאן יצטרכו לשער כנגד </w:t>
      </w:r>
      <w:r w:rsidRPr="009E65DB">
        <w:rPr>
          <w:rFonts w:hint="cs"/>
          <w:sz w:val="20"/>
          <w:szCs w:val="20"/>
          <w:rtl/>
        </w:rPr>
        <w:t>הצנון</w:t>
      </w:r>
      <w:r w:rsidR="002E0910" w:rsidRPr="009E65DB">
        <w:rPr>
          <w:rFonts w:hint="cs"/>
          <w:sz w:val="20"/>
          <w:szCs w:val="20"/>
          <w:rtl/>
        </w:rPr>
        <w:t xml:space="preserve"> גם למחבר</w:t>
      </w:r>
      <w:r w:rsidRPr="009E65DB">
        <w:rPr>
          <w:rFonts w:hint="cs"/>
          <w:sz w:val="20"/>
          <w:szCs w:val="20"/>
          <w:rtl/>
        </w:rPr>
        <w:t>. עי' בכל זה בפמ"ג ש"ד</w:t>
      </w:r>
      <w:r w:rsidR="00AC337B" w:rsidRPr="009E65DB">
        <w:rPr>
          <w:rFonts w:hint="cs"/>
          <w:sz w:val="20"/>
          <w:szCs w:val="20"/>
          <w:rtl/>
        </w:rPr>
        <w:t xml:space="preserve"> סק"ז, ובמה שהביא שם מהדרישה והב"ח.</w:t>
      </w:r>
    </w:p>
    <w:p w:rsidR="00AC337B" w:rsidRPr="009E65DB" w:rsidRDefault="006F7CF9" w:rsidP="00AC337B">
      <w:pPr>
        <w:rPr>
          <w:b/>
          <w:bCs/>
          <w:sz w:val="20"/>
          <w:szCs w:val="20"/>
          <w:rtl/>
        </w:rPr>
      </w:pPr>
      <w:r w:rsidRPr="009E65DB">
        <w:rPr>
          <w:rFonts w:hint="cs"/>
          <w:b/>
          <w:bCs/>
          <w:sz w:val="20"/>
          <w:szCs w:val="20"/>
          <w:rtl/>
        </w:rPr>
        <w:t xml:space="preserve">ה, סכין בלועה באיסור </w:t>
      </w:r>
      <w:r w:rsidRPr="009E65DB">
        <w:rPr>
          <w:b/>
          <w:bCs/>
          <w:sz w:val="20"/>
          <w:szCs w:val="20"/>
          <w:rtl/>
        </w:rPr>
        <w:t>–</w:t>
      </w:r>
      <w:r w:rsidRPr="009E65DB">
        <w:rPr>
          <w:rFonts w:hint="cs"/>
          <w:b/>
          <w:bCs/>
          <w:sz w:val="20"/>
          <w:szCs w:val="20"/>
          <w:rtl/>
        </w:rPr>
        <w:t xml:space="preserve"> כמה צריך לשער כנגד הצנון</w:t>
      </w:r>
    </w:p>
    <w:p w:rsidR="006F7CF9" w:rsidRPr="009E65DB" w:rsidRDefault="006F7CF9" w:rsidP="00AC337B">
      <w:pPr>
        <w:rPr>
          <w:sz w:val="20"/>
          <w:szCs w:val="20"/>
          <w:rtl/>
        </w:rPr>
      </w:pPr>
      <w:r w:rsidRPr="009E65DB">
        <w:rPr>
          <w:rFonts w:hint="cs"/>
          <w:sz w:val="20"/>
          <w:szCs w:val="20"/>
          <w:rtl/>
        </w:rPr>
        <w:t>דברי ספר התרומות המובא בטור שצריך לשער כנגד כל הצנון. העמדת הב"י והדרכ"מ דמיירי דווקא כשחתך דק</w:t>
      </w:r>
      <w:r w:rsidR="009E65DB">
        <w:rPr>
          <w:rFonts w:hint="cs"/>
          <w:sz w:val="20"/>
          <w:szCs w:val="20"/>
          <w:rtl/>
        </w:rPr>
        <w:t xml:space="preserve"> דק, וכן הוא ברמ"א בסעיף א'. דעת</w:t>
      </w:r>
      <w:r w:rsidRPr="009E65DB">
        <w:rPr>
          <w:rFonts w:hint="cs"/>
          <w:sz w:val="20"/>
          <w:szCs w:val="20"/>
          <w:rtl/>
        </w:rPr>
        <w:t xml:space="preserve"> מהר"מ לובלין והלבוש </w:t>
      </w:r>
      <w:r w:rsidR="009E65DB">
        <w:rPr>
          <w:rFonts w:hint="cs"/>
          <w:sz w:val="20"/>
          <w:szCs w:val="20"/>
          <w:rtl/>
        </w:rPr>
        <w:t>ש</w:t>
      </w:r>
      <w:r w:rsidRPr="009E65DB">
        <w:rPr>
          <w:rFonts w:hint="cs"/>
          <w:sz w:val="20"/>
          <w:szCs w:val="20"/>
          <w:rtl/>
        </w:rPr>
        <w:t>חולקים וס"ל שלעולם בסכין איסור צר</w:t>
      </w:r>
      <w:r w:rsidR="002E5BEF">
        <w:rPr>
          <w:rFonts w:hint="cs"/>
          <w:sz w:val="20"/>
          <w:szCs w:val="20"/>
          <w:rtl/>
        </w:rPr>
        <w:t xml:space="preserve">יך לשער </w:t>
      </w:r>
      <w:r w:rsidR="002E5BEF">
        <w:rPr>
          <w:rFonts w:hint="cs"/>
          <w:sz w:val="20"/>
          <w:szCs w:val="20"/>
          <w:rtl/>
        </w:rPr>
        <w:lastRenderedPageBreak/>
        <w:t>כנגד כל הצנון</w:t>
      </w:r>
      <w:r w:rsidRPr="009E65DB">
        <w:rPr>
          <w:rFonts w:hint="cs"/>
          <w:sz w:val="20"/>
          <w:szCs w:val="20"/>
          <w:rtl/>
        </w:rPr>
        <w:t>. וראה מה שכתבו בזה</w:t>
      </w:r>
      <w:r w:rsidR="002E0910" w:rsidRPr="009E65DB">
        <w:rPr>
          <w:rFonts w:hint="cs"/>
          <w:sz w:val="20"/>
          <w:szCs w:val="20"/>
          <w:rtl/>
        </w:rPr>
        <w:t xml:space="preserve"> ט"ז סק"ו</w:t>
      </w:r>
      <w:r w:rsidR="004D6FCC" w:rsidRPr="009E65DB">
        <w:rPr>
          <w:rFonts w:hint="cs"/>
          <w:sz w:val="20"/>
          <w:szCs w:val="20"/>
          <w:rtl/>
        </w:rPr>
        <w:t>, ש"ך סק"ט, ורעק"א שם.</w:t>
      </w:r>
      <w:r w:rsidR="0093725F">
        <w:rPr>
          <w:rFonts w:hint="cs"/>
          <w:sz w:val="20"/>
          <w:szCs w:val="20"/>
          <w:rtl/>
        </w:rPr>
        <w:t xml:space="preserve"> ועי' פמ"ג</w:t>
      </w:r>
      <w:r w:rsidR="005D557B">
        <w:rPr>
          <w:rFonts w:hint="cs"/>
          <w:sz w:val="20"/>
          <w:szCs w:val="20"/>
          <w:rtl/>
        </w:rPr>
        <w:t xml:space="preserve"> ש"ד סק"ט "ובאמת יש לראות", שהתקשה בטעמם  של הט"ז והש"ך. </w:t>
      </w:r>
    </w:p>
    <w:p w:rsidR="006F7CF9" w:rsidRPr="009E65DB" w:rsidRDefault="006F7CF9" w:rsidP="00AC337B">
      <w:pPr>
        <w:rPr>
          <w:sz w:val="20"/>
          <w:szCs w:val="20"/>
          <w:rtl/>
        </w:rPr>
      </w:pPr>
    </w:p>
    <w:p w:rsidR="00B72CDF" w:rsidRPr="009E65DB" w:rsidRDefault="00AC337B" w:rsidP="00AC337B">
      <w:pPr>
        <w:rPr>
          <w:sz w:val="20"/>
          <w:szCs w:val="20"/>
        </w:rPr>
      </w:pPr>
      <w:r w:rsidRPr="009E65DB">
        <w:rPr>
          <w:rFonts w:hint="cs"/>
          <w:sz w:val="20"/>
          <w:szCs w:val="20"/>
          <w:rtl/>
        </w:rPr>
        <w:t xml:space="preserve"> </w:t>
      </w:r>
      <w:r w:rsidR="00B72CDF" w:rsidRPr="009E65DB">
        <w:rPr>
          <w:rFonts w:hint="cs"/>
          <w:sz w:val="20"/>
          <w:szCs w:val="20"/>
          <w:rtl/>
        </w:rPr>
        <w:t xml:space="preserve"> </w:t>
      </w:r>
    </w:p>
    <w:sectPr w:rsidR="00B72CDF" w:rsidRPr="009E65DB" w:rsidSect="008D39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48"/>
    <w:rsid w:val="00266E48"/>
    <w:rsid w:val="002E0910"/>
    <w:rsid w:val="002E5BEF"/>
    <w:rsid w:val="00362D28"/>
    <w:rsid w:val="004936A5"/>
    <w:rsid w:val="004B40FF"/>
    <w:rsid w:val="004D6FCC"/>
    <w:rsid w:val="005111CC"/>
    <w:rsid w:val="005177A8"/>
    <w:rsid w:val="005D557B"/>
    <w:rsid w:val="006E3A40"/>
    <w:rsid w:val="006F7CF9"/>
    <w:rsid w:val="007C3E77"/>
    <w:rsid w:val="008D39E8"/>
    <w:rsid w:val="0093725F"/>
    <w:rsid w:val="00964753"/>
    <w:rsid w:val="00990A5E"/>
    <w:rsid w:val="009E65DB"/>
    <w:rsid w:val="00AC337B"/>
    <w:rsid w:val="00B72CDF"/>
    <w:rsid w:val="00CB0986"/>
    <w:rsid w:val="00D32D35"/>
    <w:rsid w:val="00D93142"/>
    <w:rsid w:val="00DF4C02"/>
    <w:rsid w:val="00F07C6C"/>
    <w:rsid w:val="00F76BC3"/>
    <w:rsid w:val="00FE7E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A66A"/>
  <w15:chartTrackingRefBased/>
  <w15:docId w15:val="{79954075-3DFA-4109-AF51-D038101A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C3E77"/>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7C3E7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2451</TotalTime>
  <Pages>2</Pages>
  <Words>556</Words>
  <Characters>2785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cp:lastPrinted>2020-07-10T07:15:00Z</cp:lastPrinted>
  <dcterms:created xsi:type="dcterms:W3CDTF">2020-07-03T08:47:00Z</dcterms:created>
  <dcterms:modified xsi:type="dcterms:W3CDTF">2020-10-25T15:06:00Z</dcterms:modified>
</cp:coreProperties>
</file>