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7B" w:rsidRDefault="002F247B" w:rsidP="002F247B">
      <w:pPr>
        <w:rPr>
          <w:b/>
          <w:bCs/>
          <w:rtl/>
        </w:rPr>
      </w:pPr>
      <w:r>
        <w:rPr>
          <w:rFonts w:hint="cs"/>
          <w:b/>
          <w:bCs/>
          <w:rtl/>
        </w:rPr>
        <w:t>בעזרת השם יתברך</w:t>
      </w:r>
    </w:p>
    <w:p w:rsidR="002F247B" w:rsidRDefault="002F247B" w:rsidP="002F247B">
      <w:pPr>
        <w:rPr>
          <w:b/>
          <w:bCs/>
          <w:rtl/>
        </w:rPr>
      </w:pPr>
      <w:r>
        <w:rPr>
          <w:rFonts w:hint="cs"/>
          <w:b/>
          <w:bCs/>
          <w:rtl/>
        </w:rPr>
        <w:t>ציונים מראי מקומות סי' צ"ז</w:t>
      </w:r>
    </w:p>
    <w:p w:rsidR="005E7F4D" w:rsidRPr="006A7F4D" w:rsidRDefault="005E7F4D" w:rsidP="005E7F4D">
      <w:pPr>
        <w:rPr>
          <w:b/>
          <w:bCs/>
          <w:sz w:val="18"/>
          <w:szCs w:val="18"/>
          <w:rtl/>
        </w:rPr>
      </w:pPr>
      <w:r w:rsidRPr="006A7F4D">
        <w:rPr>
          <w:rFonts w:hint="cs"/>
          <w:b/>
          <w:bCs/>
          <w:sz w:val="18"/>
          <w:szCs w:val="18"/>
          <w:rtl/>
        </w:rPr>
        <w:t>גדר איסור הפת</w:t>
      </w:r>
    </w:p>
    <w:p w:rsidR="00A67937" w:rsidRDefault="005E7F4D" w:rsidP="005E7F4D">
      <w:pPr>
        <w:rPr>
          <w:sz w:val="18"/>
          <w:szCs w:val="18"/>
          <w:rtl/>
        </w:rPr>
      </w:pPr>
      <w:r w:rsidRPr="006A7F4D">
        <w:rPr>
          <w:rFonts w:hint="cs"/>
          <w:sz w:val="18"/>
          <w:szCs w:val="18"/>
          <w:rtl/>
        </w:rPr>
        <w:t>ה</w:t>
      </w:r>
      <w:r w:rsidRPr="00A67937">
        <w:rPr>
          <w:rFonts w:hint="cs"/>
          <w:i/>
          <w:iCs/>
          <w:sz w:val="18"/>
          <w:szCs w:val="18"/>
          <w:rtl/>
        </w:rPr>
        <w:t>אם אוסרת בתערובת משום חתיכה הראויה להתכבד</w:t>
      </w:r>
      <w:r w:rsidRPr="006A7F4D">
        <w:rPr>
          <w:rFonts w:hint="cs"/>
          <w:sz w:val="18"/>
          <w:szCs w:val="18"/>
          <w:rtl/>
        </w:rPr>
        <w:t xml:space="preserve"> </w:t>
      </w:r>
      <w:r w:rsidRPr="006A7F4D">
        <w:rPr>
          <w:sz w:val="18"/>
          <w:szCs w:val="18"/>
          <w:rtl/>
        </w:rPr>
        <w:t>–</w:t>
      </w:r>
      <w:r w:rsidRPr="006A7F4D">
        <w:rPr>
          <w:rFonts w:hint="cs"/>
          <w:sz w:val="18"/>
          <w:szCs w:val="18"/>
          <w:rtl/>
        </w:rPr>
        <w:t xml:space="preserve"> עי' פת"ש ב' בשם ספ</w:t>
      </w:r>
      <w:r w:rsidR="006A7F4D" w:rsidRPr="006A7F4D">
        <w:rPr>
          <w:rFonts w:hint="cs"/>
          <w:sz w:val="18"/>
          <w:szCs w:val="18"/>
          <w:rtl/>
        </w:rPr>
        <w:t>ר לבושי שרד שדן בפת שהתערבה, ועי' בהלכות בשר בחלב שהביא שמסקנתו שם לאסור, דנחשב חהר"ל. ומאידך, הביא שיש פוסקים שחלקו והתירו</w:t>
      </w:r>
      <w:r w:rsidR="006A7F4D">
        <w:rPr>
          <w:rFonts w:hint="cs"/>
          <w:sz w:val="18"/>
          <w:szCs w:val="18"/>
          <w:rtl/>
        </w:rPr>
        <w:t xml:space="preserve">, כיון שנחשב איסור בלוע. </w:t>
      </w:r>
      <w:r w:rsidRPr="006A7F4D">
        <w:rPr>
          <w:rFonts w:hint="cs"/>
          <w:sz w:val="18"/>
          <w:szCs w:val="18"/>
          <w:rtl/>
        </w:rPr>
        <w:t xml:space="preserve">  </w:t>
      </w:r>
    </w:p>
    <w:p w:rsidR="005E7F4D" w:rsidRPr="006A7F4D" w:rsidRDefault="00A67937" w:rsidP="005E7F4D">
      <w:pPr>
        <w:rPr>
          <w:sz w:val="18"/>
          <w:szCs w:val="18"/>
        </w:rPr>
      </w:pPr>
      <w:r>
        <w:rPr>
          <w:rFonts w:hint="cs"/>
          <w:i/>
          <w:iCs/>
          <w:sz w:val="18"/>
          <w:szCs w:val="18"/>
          <w:rtl/>
        </w:rPr>
        <w:t>האם דבר שבלע מהפת האסורה נאסר גם הוא</w:t>
      </w:r>
      <w:r w:rsidR="005E7F4D" w:rsidRPr="006A7F4D">
        <w:rPr>
          <w:rFonts w:hint="cs"/>
          <w:sz w:val="18"/>
          <w:szCs w:val="18"/>
          <w:rtl/>
        </w:rPr>
        <w:t xml:space="preserve"> </w:t>
      </w:r>
      <w:r w:rsidR="005E7F4D" w:rsidRPr="006A7F4D">
        <w:rPr>
          <w:sz w:val="18"/>
          <w:szCs w:val="18"/>
          <w:rtl/>
        </w:rPr>
        <w:t>–</w:t>
      </w:r>
      <w:r w:rsidR="005E7F4D" w:rsidRPr="006A7F4D">
        <w:rPr>
          <w:rFonts w:hint="cs"/>
          <w:sz w:val="18"/>
          <w:szCs w:val="18"/>
          <w:rtl/>
        </w:rPr>
        <w:t xml:space="preserve"> עי' ספר הלכות בשר בחלב בשם פוסקי זמננו שדנו והסתפקו בזה.</w:t>
      </w:r>
    </w:p>
    <w:p w:rsidR="006A7F4D" w:rsidRPr="00A67937" w:rsidRDefault="006A7F4D" w:rsidP="002F247B">
      <w:pPr>
        <w:rPr>
          <w:b/>
          <w:bCs/>
          <w:sz w:val="18"/>
          <w:szCs w:val="18"/>
          <w:rtl/>
        </w:rPr>
      </w:pPr>
    </w:p>
    <w:p w:rsidR="002F247B" w:rsidRPr="006A7F4D" w:rsidRDefault="002F247B" w:rsidP="002F247B">
      <w:pPr>
        <w:rPr>
          <w:b/>
          <w:bCs/>
          <w:sz w:val="18"/>
          <w:szCs w:val="18"/>
          <w:rtl/>
        </w:rPr>
      </w:pPr>
      <w:r w:rsidRPr="006A7F4D">
        <w:rPr>
          <w:rFonts w:hint="cs"/>
          <w:b/>
          <w:bCs/>
          <w:sz w:val="18"/>
          <w:szCs w:val="18"/>
          <w:rtl/>
        </w:rPr>
        <w:t>פחות משישים</w:t>
      </w:r>
    </w:p>
    <w:p w:rsidR="002F247B" w:rsidRPr="006A7F4D" w:rsidRDefault="002F247B" w:rsidP="00A67937">
      <w:pPr>
        <w:rPr>
          <w:sz w:val="18"/>
          <w:szCs w:val="18"/>
          <w:rtl/>
        </w:rPr>
      </w:pPr>
      <w:r w:rsidRPr="006A7F4D">
        <w:rPr>
          <w:rFonts w:hint="cs"/>
          <w:sz w:val="18"/>
          <w:szCs w:val="18"/>
          <w:rtl/>
        </w:rPr>
        <w:t>חידש הצ"צ שבכלל הגזירה אף ללוש פת בפחות משישים בחלב, משום דנחשב ביטול איסור לכתחילה, והוא חידוש גדול</w:t>
      </w:r>
      <w:r w:rsidR="00511F45" w:rsidRPr="006A7F4D">
        <w:rPr>
          <w:rFonts w:hint="cs"/>
          <w:sz w:val="18"/>
          <w:szCs w:val="18"/>
          <w:rtl/>
        </w:rPr>
        <w:t xml:space="preserve"> </w:t>
      </w:r>
      <w:r w:rsidRPr="006A7F4D">
        <w:rPr>
          <w:rFonts w:hint="cs"/>
          <w:sz w:val="18"/>
          <w:szCs w:val="18"/>
          <w:rtl/>
        </w:rPr>
        <w:t xml:space="preserve"> וכמו שביאר הי</w:t>
      </w:r>
      <w:r w:rsidR="005E7F4D" w:rsidRPr="006A7F4D">
        <w:rPr>
          <w:rFonts w:hint="cs"/>
          <w:sz w:val="18"/>
          <w:szCs w:val="18"/>
          <w:rtl/>
        </w:rPr>
        <w:t>טב הנחלת צ</w:t>
      </w:r>
      <w:r w:rsidR="00A67937">
        <w:rPr>
          <w:rFonts w:hint="cs"/>
          <w:sz w:val="18"/>
          <w:szCs w:val="18"/>
          <w:rtl/>
        </w:rPr>
        <w:t>בי בארוכה</w:t>
      </w:r>
      <w:r w:rsidR="00A67937" w:rsidRPr="00A67937">
        <w:rPr>
          <w:rFonts w:hint="cs"/>
          <w:sz w:val="18"/>
          <w:szCs w:val="18"/>
          <w:rtl/>
        </w:rPr>
        <w:t xml:space="preserve"> </w:t>
      </w:r>
      <w:r w:rsidR="00A67937" w:rsidRPr="006A7F4D">
        <w:rPr>
          <w:rFonts w:hint="cs"/>
          <w:sz w:val="18"/>
          <w:szCs w:val="18"/>
          <w:rtl/>
        </w:rPr>
        <w:t>[ואולי יש כאן מחלוקת בגדר ביטול איסור לכתחילה]</w:t>
      </w:r>
      <w:r w:rsidR="00A67937">
        <w:rPr>
          <w:rFonts w:hint="cs"/>
          <w:sz w:val="18"/>
          <w:szCs w:val="18"/>
          <w:rtl/>
        </w:rPr>
        <w:t>.</w:t>
      </w:r>
      <w:r w:rsidR="005E7F4D" w:rsidRPr="006A7F4D">
        <w:rPr>
          <w:rFonts w:hint="cs"/>
          <w:sz w:val="18"/>
          <w:szCs w:val="18"/>
          <w:rtl/>
        </w:rPr>
        <w:t xml:space="preserve"> </w:t>
      </w:r>
      <w:r w:rsidRPr="006A7F4D">
        <w:rPr>
          <w:rFonts w:hint="cs"/>
          <w:sz w:val="18"/>
          <w:szCs w:val="18"/>
          <w:rtl/>
        </w:rPr>
        <w:t xml:space="preserve"> </w:t>
      </w:r>
      <w:r w:rsidR="005E7F4D" w:rsidRPr="006A7F4D">
        <w:rPr>
          <w:rFonts w:hint="cs"/>
          <w:sz w:val="18"/>
          <w:szCs w:val="18"/>
          <w:rtl/>
        </w:rPr>
        <w:t>ו</w:t>
      </w:r>
      <w:r w:rsidRPr="006A7F4D">
        <w:rPr>
          <w:rFonts w:hint="cs"/>
          <w:sz w:val="18"/>
          <w:szCs w:val="18"/>
          <w:rtl/>
        </w:rPr>
        <w:t>בחוו"ד</w:t>
      </w:r>
      <w:r w:rsidR="005E7F4D" w:rsidRPr="006A7F4D">
        <w:rPr>
          <w:rFonts w:hint="cs"/>
          <w:sz w:val="18"/>
          <w:szCs w:val="18"/>
          <w:rtl/>
        </w:rPr>
        <w:t xml:space="preserve"> הסכים עם הצ"צ</w:t>
      </w:r>
      <w:r w:rsidRPr="006A7F4D">
        <w:rPr>
          <w:rFonts w:hint="cs"/>
          <w:sz w:val="18"/>
          <w:szCs w:val="18"/>
          <w:rtl/>
        </w:rPr>
        <w:t>.</w:t>
      </w:r>
      <w:r w:rsidR="005E7F4D" w:rsidRPr="006A7F4D">
        <w:rPr>
          <w:rFonts w:hint="cs"/>
          <w:sz w:val="18"/>
          <w:szCs w:val="18"/>
          <w:rtl/>
        </w:rPr>
        <w:t xml:space="preserve"> ובפמ"ג כתב שאף המתירים התירו רק במקום הפסד.</w:t>
      </w:r>
      <w:r w:rsidR="0015414E">
        <w:rPr>
          <w:rFonts w:hint="cs"/>
          <w:sz w:val="18"/>
          <w:szCs w:val="18"/>
          <w:rtl/>
        </w:rPr>
        <w:t xml:space="preserve"> ובלבושי עז הביא שגם במ"ב משמע שבעצם הגדר, מסכים עם הצ"צ שיש כאן איסור ביטול איסור לכתחילה ומתיר רק מצד שיש כאן סברת אינו מתכוון.</w:t>
      </w:r>
    </w:p>
    <w:p w:rsidR="006A7F4D" w:rsidRDefault="0015414E" w:rsidP="002F247B">
      <w:pPr>
        <w:rPr>
          <w:rFonts w:hint="cs"/>
          <w:b/>
          <w:bCs/>
          <w:sz w:val="18"/>
          <w:szCs w:val="18"/>
          <w:rtl/>
        </w:rPr>
      </w:pPr>
      <w:r>
        <w:rPr>
          <w:rFonts w:hint="cs"/>
          <w:b/>
          <w:bCs/>
          <w:sz w:val="18"/>
          <w:szCs w:val="18"/>
          <w:rtl/>
        </w:rPr>
        <w:t>יבש ביבש</w:t>
      </w:r>
    </w:p>
    <w:p w:rsidR="0015414E" w:rsidRPr="0015414E" w:rsidRDefault="0015414E" w:rsidP="002F247B">
      <w:pPr>
        <w:rPr>
          <w:sz w:val="18"/>
          <w:szCs w:val="18"/>
          <w:rtl/>
        </w:rPr>
      </w:pPr>
      <w:r>
        <w:rPr>
          <w:rFonts w:hint="cs"/>
          <w:sz w:val="18"/>
          <w:szCs w:val="18"/>
          <w:rtl/>
        </w:rPr>
        <w:t>יש לדון כאשר נילושה אחת הפתות בחלב, והתערבה עוד קודם האפיה חד בתרי פתות אחרות, באופן שמעולם לא היתה כאן פת שאסורה לאכול עם בשר, משום שהתבטלה חד בתרי. האם נגיד שגם מראש לא חל עליה איסור דפת חלבית, וממילא יהיה מותר לבשל לכתחילה את כל הפתות יחדיו (שלא על מנת לאכלה עם בשר), וכן נקט בפשיטות הרב פרנקל שליט"א מגבעת שאול.</w:t>
      </w:r>
      <w:bookmarkStart w:id="0" w:name="_GoBack"/>
      <w:bookmarkEnd w:id="0"/>
    </w:p>
    <w:p w:rsidR="002F247B" w:rsidRPr="006A7F4D" w:rsidRDefault="002F247B" w:rsidP="002F247B">
      <w:pPr>
        <w:rPr>
          <w:b/>
          <w:bCs/>
          <w:sz w:val="18"/>
          <w:szCs w:val="18"/>
          <w:rtl/>
        </w:rPr>
      </w:pPr>
      <w:r w:rsidRPr="006A7F4D">
        <w:rPr>
          <w:rFonts w:hint="cs"/>
          <w:b/>
          <w:bCs/>
          <w:sz w:val="18"/>
          <w:szCs w:val="18"/>
          <w:rtl/>
        </w:rPr>
        <w:t>כשאינו במזיד</w:t>
      </w:r>
    </w:p>
    <w:p w:rsidR="002F247B" w:rsidRPr="006A7F4D" w:rsidRDefault="002F247B" w:rsidP="002F247B">
      <w:pPr>
        <w:rPr>
          <w:sz w:val="18"/>
          <w:szCs w:val="18"/>
          <w:rtl/>
        </w:rPr>
      </w:pPr>
      <w:r w:rsidRPr="006A7F4D">
        <w:rPr>
          <w:rFonts w:hint="cs"/>
          <w:sz w:val="18"/>
          <w:szCs w:val="18"/>
          <w:rtl/>
        </w:rPr>
        <w:t xml:space="preserve">עי' פמ"ג שאף בשוגג נאסר. ובהג"א </w:t>
      </w:r>
      <w:r w:rsidRPr="006A7F4D">
        <w:rPr>
          <w:sz w:val="18"/>
          <w:szCs w:val="18"/>
          <w:rtl/>
        </w:rPr>
        <w:t>–</w:t>
      </w:r>
      <w:r w:rsidRPr="006A7F4D">
        <w:rPr>
          <w:rFonts w:hint="cs"/>
          <w:sz w:val="18"/>
          <w:szCs w:val="18"/>
          <w:rtl/>
        </w:rPr>
        <w:t xml:space="preserve"> מובא בב"י </w:t>
      </w:r>
      <w:r w:rsidRPr="006A7F4D">
        <w:rPr>
          <w:sz w:val="18"/>
          <w:szCs w:val="18"/>
          <w:rtl/>
        </w:rPr>
        <w:t>–</w:t>
      </w:r>
      <w:r w:rsidRPr="006A7F4D">
        <w:rPr>
          <w:rFonts w:hint="cs"/>
          <w:sz w:val="18"/>
          <w:szCs w:val="18"/>
          <w:rtl/>
        </w:rPr>
        <w:t xml:space="preserve"> מבואר דאף שלא בכוונה, כשזב מהפשטידה לתנור, נאסרת הפת לאכלה אף במלח (ולכאורה כ"ש בשוגג, וצ"ע אמא</w:t>
      </w:r>
      <w:r w:rsidR="00511F45" w:rsidRPr="006A7F4D">
        <w:rPr>
          <w:rFonts w:hint="cs"/>
          <w:sz w:val="18"/>
          <w:szCs w:val="18"/>
          <w:rtl/>
        </w:rPr>
        <w:t>י הוצרך הפמ"ג ל"סתימת הפוסקים").</w:t>
      </w:r>
      <w:r w:rsidRPr="006A7F4D">
        <w:rPr>
          <w:rFonts w:hint="cs"/>
          <w:sz w:val="18"/>
          <w:szCs w:val="18"/>
          <w:rtl/>
        </w:rPr>
        <w:t xml:space="preserve"> והחכמ"א  חילק שהיכא שקרה שלא בכוונה מועילה תקנה של חלוקה לאנשים רבים וכו'.</w:t>
      </w:r>
    </w:p>
    <w:p w:rsidR="006A7F4D" w:rsidRDefault="006A7F4D" w:rsidP="002F247B">
      <w:pPr>
        <w:rPr>
          <w:b/>
          <w:bCs/>
          <w:sz w:val="18"/>
          <w:szCs w:val="18"/>
          <w:rtl/>
        </w:rPr>
      </w:pPr>
    </w:p>
    <w:p w:rsidR="002F247B" w:rsidRPr="006A7F4D" w:rsidRDefault="002F247B" w:rsidP="002F247B">
      <w:pPr>
        <w:rPr>
          <w:b/>
          <w:bCs/>
          <w:sz w:val="18"/>
          <w:szCs w:val="18"/>
          <w:rtl/>
        </w:rPr>
      </w:pPr>
      <w:r w:rsidRPr="006A7F4D">
        <w:rPr>
          <w:rFonts w:hint="cs"/>
          <w:b/>
          <w:bCs/>
          <w:sz w:val="18"/>
          <w:szCs w:val="18"/>
          <w:rtl/>
        </w:rPr>
        <w:t>סימון לאחר אפיה</w:t>
      </w:r>
    </w:p>
    <w:p w:rsidR="002F247B" w:rsidRPr="006A7F4D" w:rsidRDefault="002F247B" w:rsidP="002F247B">
      <w:pPr>
        <w:rPr>
          <w:sz w:val="18"/>
          <w:szCs w:val="18"/>
          <w:rtl/>
        </w:rPr>
      </w:pPr>
      <w:r w:rsidRPr="006A7F4D">
        <w:rPr>
          <w:rFonts w:hint="cs"/>
          <w:sz w:val="18"/>
          <w:szCs w:val="18"/>
          <w:rtl/>
        </w:rPr>
        <w:t>עי' בחוו"ד שאינו מועיל. [אמנם לאחר לישה משמע שמועיל ולא אמרינן שכיון שלש בלא סימון כבר יש חשש שישכח.]</w:t>
      </w:r>
    </w:p>
    <w:p w:rsidR="002F247B" w:rsidRPr="006A7F4D" w:rsidRDefault="002F247B" w:rsidP="002F247B">
      <w:pPr>
        <w:rPr>
          <w:b/>
          <w:bCs/>
          <w:sz w:val="18"/>
          <w:szCs w:val="18"/>
          <w:rtl/>
        </w:rPr>
      </w:pPr>
      <w:r w:rsidRPr="006A7F4D">
        <w:rPr>
          <w:rFonts w:hint="cs"/>
          <w:b/>
          <w:bCs/>
          <w:sz w:val="18"/>
          <w:szCs w:val="18"/>
          <w:rtl/>
        </w:rPr>
        <w:t>עירוב לאחר אפיה</w:t>
      </w:r>
    </w:p>
    <w:p w:rsidR="002F247B" w:rsidRPr="006A7F4D" w:rsidRDefault="002F247B" w:rsidP="002F247B">
      <w:pPr>
        <w:rPr>
          <w:sz w:val="18"/>
          <w:szCs w:val="18"/>
          <w:rtl/>
        </w:rPr>
      </w:pPr>
      <w:r w:rsidRPr="006A7F4D">
        <w:rPr>
          <w:rFonts w:hint="cs"/>
          <w:sz w:val="18"/>
          <w:szCs w:val="18"/>
          <w:rtl/>
        </w:rPr>
        <w:t>בחוו"ד מבואר שגם אם התערבה הפת בבשר או חלב לאחר האפיה, נאסרת, וצ"ע בכה"ג האם יועיל לעשות תיקון של סימן אחר העירוב, או שיצטרכו קודם לסמן ואח"כ לערב.</w:t>
      </w:r>
      <w:r w:rsidR="00356738" w:rsidRPr="006A7F4D">
        <w:rPr>
          <w:rFonts w:hint="cs"/>
          <w:sz w:val="18"/>
          <w:szCs w:val="18"/>
          <w:rtl/>
        </w:rPr>
        <w:t xml:space="preserve"> ועי' בזה בחכמת אדם ובערוך השלחן</w:t>
      </w:r>
      <w:r w:rsidR="00A77350" w:rsidRPr="006A7F4D">
        <w:rPr>
          <w:rFonts w:hint="cs"/>
          <w:sz w:val="18"/>
          <w:szCs w:val="18"/>
          <w:rtl/>
        </w:rPr>
        <w:t xml:space="preserve"> (שנראית מסקנתו שעד כמה שהעירוב היה אחר האפיה, יועיל גם סימון מידי)</w:t>
      </w:r>
      <w:r w:rsidR="00356738" w:rsidRPr="006A7F4D">
        <w:rPr>
          <w:rFonts w:hint="cs"/>
          <w:sz w:val="18"/>
          <w:szCs w:val="18"/>
          <w:rtl/>
        </w:rPr>
        <w:t>.</w:t>
      </w:r>
    </w:p>
    <w:p w:rsidR="006A7F4D" w:rsidRDefault="006A7F4D" w:rsidP="002F247B">
      <w:pPr>
        <w:rPr>
          <w:sz w:val="18"/>
          <w:szCs w:val="18"/>
          <w:rtl/>
        </w:rPr>
      </w:pPr>
    </w:p>
    <w:p w:rsidR="002F247B" w:rsidRPr="006A7F4D" w:rsidRDefault="002F247B" w:rsidP="002F247B">
      <w:pPr>
        <w:rPr>
          <w:b/>
          <w:bCs/>
          <w:sz w:val="18"/>
          <w:szCs w:val="18"/>
          <w:rtl/>
        </w:rPr>
      </w:pPr>
      <w:r w:rsidRPr="006A7F4D">
        <w:rPr>
          <w:rFonts w:hint="cs"/>
          <w:b/>
          <w:bCs/>
          <w:sz w:val="18"/>
          <w:szCs w:val="18"/>
          <w:rtl/>
        </w:rPr>
        <w:t>מדוכה</w:t>
      </w:r>
      <w:r w:rsidR="00320E4D" w:rsidRPr="006A7F4D">
        <w:rPr>
          <w:rFonts w:hint="cs"/>
          <w:b/>
          <w:bCs/>
          <w:sz w:val="18"/>
          <w:szCs w:val="18"/>
          <w:rtl/>
        </w:rPr>
        <w:t xml:space="preserve"> ותבלינים</w:t>
      </w:r>
      <w:r w:rsidRPr="006A7F4D">
        <w:rPr>
          <w:rFonts w:hint="cs"/>
          <w:b/>
          <w:bCs/>
          <w:sz w:val="18"/>
          <w:szCs w:val="18"/>
          <w:rtl/>
        </w:rPr>
        <w:t xml:space="preserve"> </w:t>
      </w:r>
    </w:p>
    <w:p w:rsidR="002F247B" w:rsidRPr="006A7F4D" w:rsidRDefault="002F247B" w:rsidP="002F247B">
      <w:pPr>
        <w:rPr>
          <w:sz w:val="18"/>
          <w:szCs w:val="18"/>
          <w:rtl/>
        </w:rPr>
      </w:pPr>
      <w:r w:rsidRPr="006A7F4D">
        <w:rPr>
          <w:rFonts w:hint="cs"/>
          <w:sz w:val="18"/>
          <w:szCs w:val="18"/>
          <w:rtl/>
        </w:rPr>
        <w:t xml:space="preserve">הט"ז חידש דאותו חשש שייך במדוכה של תבלינים. </w:t>
      </w:r>
      <w:r w:rsidR="005E7F4D" w:rsidRPr="006A7F4D">
        <w:rPr>
          <w:rFonts w:hint="cs"/>
          <w:sz w:val="18"/>
          <w:szCs w:val="18"/>
          <w:rtl/>
        </w:rPr>
        <w:t>(</w:t>
      </w:r>
      <w:r w:rsidRPr="006A7F4D">
        <w:rPr>
          <w:rFonts w:hint="cs"/>
          <w:sz w:val="18"/>
          <w:szCs w:val="18"/>
          <w:rtl/>
        </w:rPr>
        <w:t>ועי' בחוו"ד שהכריח שכוונתו מצד המדוכה ולא מצד התבלינים.</w:t>
      </w:r>
      <w:r w:rsidR="005E7F4D" w:rsidRPr="006A7F4D">
        <w:rPr>
          <w:rFonts w:hint="cs"/>
          <w:sz w:val="18"/>
          <w:szCs w:val="18"/>
          <w:rtl/>
        </w:rPr>
        <w:t>)</w:t>
      </w:r>
      <w:r w:rsidRPr="006A7F4D">
        <w:rPr>
          <w:rFonts w:hint="cs"/>
          <w:sz w:val="18"/>
          <w:szCs w:val="18"/>
          <w:rtl/>
        </w:rPr>
        <w:t xml:space="preserve"> והמנחת יעקב חלק </w:t>
      </w:r>
      <w:r w:rsidR="005E7F4D" w:rsidRPr="006A7F4D">
        <w:rPr>
          <w:rFonts w:hint="cs"/>
          <w:sz w:val="18"/>
          <w:szCs w:val="18"/>
          <w:rtl/>
        </w:rPr>
        <w:t xml:space="preserve">על הט"ז (דאין לאסור מצד התבלינים) משום </w:t>
      </w:r>
      <w:r w:rsidRPr="006A7F4D">
        <w:rPr>
          <w:rFonts w:hint="cs"/>
          <w:sz w:val="18"/>
          <w:szCs w:val="18"/>
          <w:rtl/>
        </w:rPr>
        <w:t>דרק בפת גזרו משום שעל הלחם יחיה האדם (ולא זכיתי להבין הסברא) והפר"ח חלק משום שתבלינים הרגילות שעושים חלביים או בשריים.</w:t>
      </w:r>
    </w:p>
    <w:p w:rsidR="00A77350" w:rsidRPr="006A7F4D" w:rsidRDefault="00A77350" w:rsidP="002F247B">
      <w:pPr>
        <w:rPr>
          <w:b/>
          <w:bCs/>
          <w:sz w:val="18"/>
          <w:szCs w:val="18"/>
          <w:rtl/>
        </w:rPr>
      </w:pPr>
      <w:r w:rsidRPr="006A7F4D">
        <w:rPr>
          <w:rFonts w:hint="cs"/>
          <w:b/>
          <w:bCs/>
          <w:sz w:val="18"/>
          <w:szCs w:val="18"/>
          <w:rtl/>
        </w:rPr>
        <w:t>דברים שאין רגילות לאכול עם בשר/חלב</w:t>
      </w:r>
    </w:p>
    <w:p w:rsidR="002F247B" w:rsidRPr="006A7F4D" w:rsidRDefault="00A77350" w:rsidP="005E7F4D">
      <w:pPr>
        <w:rPr>
          <w:sz w:val="18"/>
          <w:szCs w:val="18"/>
          <w:rtl/>
        </w:rPr>
      </w:pPr>
      <w:r w:rsidRPr="006A7F4D">
        <w:rPr>
          <w:rFonts w:hint="cs"/>
          <w:sz w:val="18"/>
          <w:szCs w:val="18"/>
          <w:rtl/>
        </w:rPr>
        <w:t>רעק"א בשם מ"י ב</w:t>
      </w:r>
      <w:r w:rsidR="00320E4D" w:rsidRPr="006A7F4D">
        <w:rPr>
          <w:rFonts w:hint="cs"/>
          <w:sz w:val="18"/>
          <w:szCs w:val="18"/>
          <w:rtl/>
        </w:rPr>
        <w:t>ש</w:t>
      </w:r>
      <w:r w:rsidRPr="006A7F4D">
        <w:rPr>
          <w:rFonts w:hint="cs"/>
          <w:sz w:val="18"/>
          <w:szCs w:val="18"/>
          <w:rtl/>
        </w:rPr>
        <w:t>ם מהרי"ט להתיר בזה</w:t>
      </w:r>
      <w:r w:rsidR="005E7F4D" w:rsidRPr="006A7F4D">
        <w:rPr>
          <w:rFonts w:hint="cs"/>
          <w:sz w:val="18"/>
          <w:szCs w:val="18"/>
          <w:rtl/>
        </w:rPr>
        <w:t xml:space="preserve">, וכ"ה בפת"ש ג' (ובתשובת מהרי"ט עצמה מבואר התיר </w:t>
      </w:r>
      <w:r w:rsidRPr="006A7F4D">
        <w:rPr>
          <w:rFonts w:hint="cs"/>
          <w:sz w:val="18"/>
          <w:szCs w:val="18"/>
          <w:rtl/>
        </w:rPr>
        <w:t xml:space="preserve"> בצירוף עוד כמה טעמים). ובשם הגריש"א כתבו לאסור בזה.</w:t>
      </w:r>
    </w:p>
    <w:p w:rsidR="0015414E" w:rsidRDefault="0015414E" w:rsidP="002F247B">
      <w:pPr>
        <w:rPr>
          <w:b/>
          <w:bCs/>
          <w:sz w:val="18"/>
          <w:szCs w:val="18"/>
          <w:rtl/>
        </w:rPr>
      </w:pPr>
    </w:p>
    <w:p w:rsidR="005E7F4D" w:rsidRPr="006A7F4D" w:rsidRDefault="005E7F4D" w:rsidP="002F247B">
      <w:pPr>
        <w:rPr>
          <w:b/>
          <w:bCs/>
          <w:sz w:val="18"/>
          <w:szCs w:val="18"/>
          <w:rtl/>
        </w:rPr>
      </w:pPr>
      <w:r w:rsidRPr="006A7F4D">
        <w:rPr>
          <w:rFonts w:hint="cs"/>
          <w:b/>
          <w:bCs/>
          <w:sz w:val="18"/>
          <w:szCs w:val="18"/>
          <w:rtl/>
        </w:rPr>
        <w:t>למי צריך להיות השינוי ניכר</w:t>
      </w:r>
    </w:p>
    <w:p w:rsidR="005E7F4D" w:rsidRPr="006A7F4D" w:rsidRDefault="005E7F4D" w:rsidP="002F247B">
      <w:pPr>
        <w:rPr>
          <w:sz w:val="18"/>
          <w:szCs w:val="18"/>
          <w:rtl/>
        </w:rPr>
      </w:pPr>
      <w:r w:rsidRPr="006A7F4D">
        <w:rPr>
          <w:rFonts w:hint="cs"/>
          <w:sz w:val="18"/>
          <w:szCs w:val="18"/>
          <w:rtl/>
        </w:rPr>
        <w:t>פת"ש ג' בשם מהרי"ט.</w:t>
      </w:r>
    </w:p>
    <w:p w:rsidR="005E7F4D" w:rsidRPr="006A7F4D" w:rsidRDefault="005E7F4D" w:rsidP="002F247B">
      <w:pPr>
        <w:rPr>
          <w:b/>
          <w:bCs/>
          <w:sz w:val="18"/>
          <w:szCs w:val="18"/>
          <w:rtl/>
        </w:rPr>
      </w:pPr>
    </w:p>
    <w:p w:rsidR="002F247B" w:rsidRPr="006A7F4D" w:rsidRDefault="002F247B" w:rsidP="002F247B">
      <w:pPr>
        <w:rPr>
          <w:b/>
          <w:bCs/>
          <w:sz w:val="18"/>
          <w:szCs w:val="18"/>
          <w:rtl/>
        </w:rPr>
      </w:pPr>
      <w:r w:rsidRPr="006A7F4D">
        <w:rPr>
          <w:rFonts w:hint="cs"/>
          <w:b/>
          <w:bCs/>
          <w:sz w:val="18"/>
          <w:szCs w:val="18"/>
          <w:rtl/>
        </w:rPr>
        <w:t>חשש זיבה</w:t>
      </w:r>
      <w:r w:rsidR="005E7F4D" w:rsidRPr="006A7F4D">
        <w:rPr>
          <w:rFonts w:hint="cs"/>
          <w:b/>
          <w:bCs/>
          <w:sz w:val="18"/>
          <w:szCs w:val="18"/>
          <w:rtl/>
        </w:rPr>
        <w:t xml:space="preserve"> בתנור</w:t>
      </w:r>
    </w:p>
    <w:p w:rsidR="002F247B" w:rsidRPr="006A7F4D" w:rsidRDefault="002F247B" w:rsidP="002F247B">
      <w:pPr>
        <w:rPr>
          <w:sz w:val="18"/>
          <w:szCs w:val="18"/>
          <w:rtl/>
        </w:rPr>
      </w:pPr>
      <w:r w:rsidRPr="006A7F4D">
        <w:rPr>
          <w:rFonts w:hint="cs"/>
          <w:sz w:val="18"/>
          <w:szCs w:val="18"/>
          <w:rtl/>
        </w:rPr>
        <w:lastRenderedPageBreak/>
        <w:t xml:space="preserve">מחלוקת האחרונים בדעת הרמ"א האם צריך לזוב דווקא אל מתחת לפת כדי לאסור </w:t>
      </w:r>
      <w:r w:rsidRPr="006A7F4D">
        <w:rPr>
          <w:sz w:val="18"/>
          <w:szCs w:val="18"/>
          <w:rtl/>
        </w:rPr>
        <w:t>–</w:t>
      </w:r>
      <w:r w:rsidRPr="006A7F4D">
        <w:rPr>
          <w:rFonts w:hint="cs"/>
          <w:sz w:val="18"/>
          <w:szCs w:val="18"/>
          <w:rtl/>
        </w:rPr>
        <w:t xml:space="preserve"> לט"ז ולש"ך אף אם לא זב תחת הפת אסור, וכהסבר החוו"ד אמאי אינו מוגדר נ"ט בר נ"ט. ולאבן העוזר והבית מאיר </w:t>
      </w:r>
      <w:r w:rsidRPr="006A7F4D">
        <w:rPr>
          <w:sz w:val="18"/>
          <w:szCs w:val="18"/>
          <w:rtl/>
        </w:rPr>
        <w:t>–</w:t>
      </w:r>
      <w:r w:rsidRPr="006A7F4D">
        <w:rPr>
          <w:rFonts w:hint="cs"/>
          <w:sz w:val="18"/>
          <w:szCs w:val="18"/>
          <w:rtl/>
        </w:rPr>
        <w:t xml:space="preserve"> דווקא אם זב מתחת לפת עצמה.</w:t>
      </w:r>
    </w:p>
    <w:p w:rsidR="00390CCB" w:rsidRPr="006A7F4D" w:rsidRDefault="00390CCB">
      <w:pPr>
        <w:rPr>
          <w:sz w:val="18"/>
          <w:szCs w:val="18"/>
          <w:rtl/>
        </w:rPr>
      </w:pPr>
    </w:p>
    <w:p w:rsidR="005E7F4D" w:rsidRPr="00A77350" w:rsidRDefault="005E7F4D"/>
    <w:sectPr w:rsidR="005E7F4D" w:rsidRPr="00A77350" w:rsidSect="008D39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7B"/>
    <w:rsid w:val="0015414E"/>
    <w:rsid w:val="002F247B"/>
    <w:rsid w:val="00320E4D"/>
    <w:rsid w:val="00356738"/>
    <w:rsid w:val="00390CCB"/>
    <w:rsid w:val="00511F45"/>
    <w:rsid w:val="005E7F4D"/>
    <w:rsid w:val="006A7F4D"/>
    <w:rsid w:val="008D39E8"/>
    <w:rsid w:val="00A67937"/>
    <w:rsid w:val="00A773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A83"/>
  <w15:chartTrackingRefBased/>
  <w15:docId w15:val="{6324DF12-221A-488F-A71A-D38A3A02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47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7F4D"/>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A7F4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410</Words>
  <Characters>2051</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cp:lastPrinted>2020-01-29T07:44:00Z</cp:lastPrinted>
  <dcterms:created xsi:type="dcterms:W3CDTF">2020-01-16T09:06:00Z</dcterms:created>
  <dcterms:modified xsi:type="dcterms:W3CDTF">2021-06-30T01:42:00Z</dcterms:modified>
</cp:coreProperties>
</file>