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528" w:rsidRPr="00A360DE" w:rsidRDefault="00D92766" w:rsidP="009547F0">
      <w:pPr>
        <w:jc w:val="center"/>
        <w:rPr>
          <w:b/>
          <w:bCs/>
          <w:rtl/>
        </w:rPr>
      </w:pPr>
      <w:r w:rsidRPr="009547F0">
        <w:rPr>
          <w:rFonts w:hint="cs"/>
          <w:b/>
          <w:bCs/>
          <w:rtl/>
        </w:rPr>
        <w:t>בעזרת השם יתברך</w:t>
      </w:r>
      <w:r w:rsidR="009547F0">
        <w:rPr>
          <w:rFonts w:hint="cs"/>
          <w:b/>
          <w:bCs/>
          <w:rtl/>
        </w:rPr>
        <w:t xml:space="preserve">  </w:t>
      </w:r>
      <w:r w:rsidR="00A360DE">
        <w:rPr>
          <w:rFonts w:hint="cs"/>
          <w:b/>
          <w:bCs/>
          <w:rtl/>
        </w:rPr>
        <w:t xml:space="preserve">   </w:t>
      </w:r>
      <w:r w:rsidR="009547F0">
        <w:rPr>
          <w:rFonts w:hint="cs"/>
          <w:b/>
          <w:bCs/>
          <w:rtl/>
        </w:rPr>
        <w:t xml:space="preserve"> </w:t>
      </w:r>
      <w:proofErr w:type="spellStart"/>
      <w:r w:rsidR="009547F0" w:rsidRPr="00A360DE">
        <w:rPr>
          <w:rFonts w:hint="cs"/>
          <w:b/>
          <w:bCs/>
          <w:rtl/>
        </w:rPr>
        <w:t>ריחא</w:t>
      </w:r>
      <w:proofErr w:type="spellEnd"/>
    </w:p>
    <w:p w:rsidR="008A6C1B" w:rsidRDefault="008A6C1B" w:rsidP="009547F0">
      <w:pPr>
        <w:jc w:val="center"/>
        <w:rPr>
          <w:b/>
          <w:bCs/>
          <w:rtl/>
        </w:rPr>
        <w:sectPr w:rsidR="008A6C1B" w:rsidSect="008D39E8">
          <w:footerReference w:type="default" r:id="rId8"/>
          <w:pgSz w:w="11906" w:h="16838"/>
          <w:pgMar w:top="1440" w:right="1800" w:bottom="1440" w:left="1800" w:header="708" w:footer="708" w:gutter="0"/>
          <w:cols w:space="708"/>
          <w:bidi/>
          <w:rtlGutter/>
          <w:docGrid w:linePitch="360"/>
        </w:sectPr>
      </w:pPr>
    </w:p>
    <w:p w:rsidR="00D92766" w:rsidRPr="008A6C1B" w:rsidRDefault="00D92766" w:rsidP="008A6C1B">
      <w:pPr>
        <w:jc w:val="center"/>
        <w:rPr>
          <w:b/>
          <w:bCs/>
          <w:sz w:val="18"/>
          <w:szCs w:val="18"/>
          <w:rtl/>
        </w:rPr>
      </w:pPr>
      <w:r w:rsidRPr="008A6C1B">
        <w:rPr>
          <w:rFonts w:hint="cs"/>
          <w:b/>
          <w:bCs/>
          <w:sz w:val="18"/>
          <w:szCs w:val="18"/>
          <w:rtl/>
        </w:rPr>
        <w:t xml:space="preserve">יסודות </w:t>
      </w:r>
      <w:proofErr w:type="spellStart"/>
      <w:r w:rsidRPr="008A6C1B">
        <w:rPr>
          <w:rFonts w:hint="cs"/>
          <w:b/>
          <w:bCs/>
          <w:sz w:val="18"/>
          <w:szCs w:val="18"/>
          <w:rtl/>
        </w:rPr>
        <w:t>הסוגיא</w:t>
      </w:r>
      <w:proofErr w:type="spellEnd"/>
    </w:p>
    <w:p w:rsidR="00D92766" w:rsidRPr="008A6C1B" w:rsidRDefault="00D92766" w:rsidP="00D92766">
      <w:pPr>
        <w:rPr>
          <w:sz w:val="18"/>
          <w:szCs w:val="18"/>
          <w:rtl/>
        </w:rPr>
      </w:pPr>
      <w:r w:rsidRPr="008A6C1B">
        <w:rPr>
          <w:rFonts w:hint="cs"/>
          <w:sz w:val="18"/>
          <w:szCs w:val="18"/>
          <w:rtl/>
        </w:rPr>
        <w:t>פעמיים נחלקו האמוראים האם "</w:t>
      </w:r>
      <w:proofErr w:type="spellStart"/>
      <w:r w:rsidRPr="008A6C1B">
        <w:rPr>
          <w:rFonts w:hint="cs"/>
          <w:sz w:val="18"/>
          <w:szCs w:val="18"/>
          <w:rtl/>
        </w:rPr>
        <w:t>ריחא</w:t>
      </w:r>
      <w:proofErr w:type="spellEnd"/>
      <w:r w:rsidRPr="008A6C1B">
        <w:rPr>
          <w:rFonts w:hint="cs"/>
          <w:sz w:val="18"/>
          <w:szCs w:val="18"/>
          <w:rtl/>
        </w:rPr>
        <w:t xml:space="preserve"> מילתא" או לא. רב (מילתא) ולוי (לאו מילתא)</w:t>
      </w:r>
      <w:r w:rsidRPr="008A6C1B">
        <w:rPr>
          <w:rStyle w:val="a5"/>
          <w:sz w:val="18"/>
          <w:szCs w:val="18"/>
          <w:rtl/>
        </w:rPr>
        <w:footnoteReference w:id="1"/>
      </w:r>
      <w:r w:rsidRPr="008A6C1B">
        <w:rPr>
          <w:rFonts w:hint="cs"/>
          <w:sz w:val="18"/>
          <w:szCs w:val="18"/>
          <w:rtl/>
        </w:rPr>
        <w:t xml:space="preserve">, </w:t>
      </w:r>
      <w:proofErr w:type="spellStart"/>
      <w:r w:rsidRPr="008A6C1B">
        <w:rPr>
          <w:rFonts w:hint="cs"/>
          <w:sz w:val="18"/>
          <w:szCs w:val="18"/>
          <w:rtl/>
        </w:rPr>
        <w:t>אביי</w:t>
      </w:r>
      <w:proofErr w:type="spellEnd"/>
      <w:r w:rsidRPr="008A6C1B">
        <w:rPr>
          <w:rFonts w:hint="cs"/>
          <w:sz w:val="18"/>
          <w:szCs w:val="18"/>
          <w:rtl/>
        </w:rPr>
        <w:t xml:space="preserve"> (מילתא) ורבא (לאו מילתא)</w:t>
      </w:r>
      <w:r w:rsidRPr="008A6C1B">
        <w:rPr>
          <w:rStyle w:val="a5"/>
          <w:sz w:val="18"/>
          <w:szCs w:val="18"/>
          <w:rtl/>
        </w:rPr>
        <w:footnoteReference w:id="2"/>
      </w:r>
      <w:r w:rsidRPr="008A6C1B">
        <w:rPr>
          <w:rFonts w:hint="cs"/>
          <w:sz w:val="18"/>
          <w:szCs w:val="18"/>
          <w:rtl/>
        </w:rPr>
        <w:t>.</w:t>
      </w:r>
    </w:p>
    <w:p w:rsidR="00BB7C34" w:rsidRPr="008A6C1B" w:rsidRDefault="00D92766" w:rsidP="00D92766">
      <w:pPr>
        <w:rPr>
          <w:sz w:val="18"/>
          <w:szCs w:val="18"/>
          <w:rtl/>
        </w:rPr>
      </w:pPr>
      <w:r w:rsidRPr="008A6C1B">
        <w:rPr>
          <w:rFonts w:hint="cs"/>
          <w:sz w:val="18"/>
          <w:szCs w:val="18"/>
          <w:rtl/>
        </w:rPr>
        <w:t xml:space="preserve">והעולה מהסוגיות </w:t>
      </w:r>
      <w:proofErr w:type="spellStart"/>
      <w:r w:rsidRPr="008A6C1B">
        <w:rPr>
          <w:rFonts w:hint="cs"/>
          <w:sz w:val="18"/>
          <w:szCs w:val="18"/>
          <w:rtl/>
        </w:rPr>
        <w:t>שהנפ"מ</w:t>
      </w:r>
      <w:proofErr w:type="spellEnd"/>
      <w:r w:rsidRPr="008A6C1B">
        <w:rPr>
          <w:rFonts w:hint="cs"/>
          <w:sz w:val="18"/>
          <w:szCs w:val="18"/>
          <w:rtl/>
        </w:rPr>
        <w:t xml:space="preserve"> </w:t>
      </w:r>
      <w:proofErr w:type="spellStart"/>
      <w:r w:rsidRPr="008A6C1B">
        <w:rPr>
          <w:rFonts w:hint="cs"/>
          <w:sz w:val="18"/>
          <w:szCs w:val="18"/>
          <w:rtl/>
        </w:rPr>
        <w:t>בתרתי</w:t>
      </w:r>
      <w:proofErr w:type="spellEnd"/>
      <w:r w:rsidRPr="008A6C1B">
        <w:rPr>
          <w:rStyle w:val="a5"/>
          <w:sz w:val="18"/>
          <w:szCs w:val="18"/>
          <w:rtl/>
        </w:rPr>
        <w:footnoteReference w:id="3"/>
      </w:r>
      <w:r w:rsidRPr="008A6C1B">
        <w:rPr>
          <w:rFonts w:hint="cs"/>
          <w:sz w:val="18"/>
          <w:szCs w:val="18"/>
          <w:rtl/>
        </w:rPr>
        <w:t xml:space="preserve">: </w:t>
      </w:r>
    </w:p>
    <w:p w:rsidR="00BB7C34" w:rsidRPr="008A6C1B" w:rsidRDefault="00D92766" w:rsidP="008A6C1B">
      <w:pPr>
        <w:rPr>
          <w:sz w:val="18"/>
          <w:szCs w:val="18"/>
          <w:rtl/>
        </w:rPr>
      </w:pPr>
      <w:r w:rsidRPr="008A6C1B">
        <w:rPr>
          <w:rFonts w:hint="cs"/>
          <w:sz w:val="18"/>
          <w:szCs w:val="18"/>
          <w:rtl/>
        </w:rPr>
        <w:t xml:space="preserve">א, אם </w:t>
      </w:r>
      <w:proofErr w:type="spellStart"/>
      <w:r w:rsidRPr="008A6C1B">
        <w:rPr>
          <w:rFonts w:hint="cs"/>
          <w:sz w:val="18"/>
          <w:szCs w:val="18"/>
          <w:rtl/>
        </w:rPr>
        <w:t>ריחא</w:t>
      </w:r>
      <w:proofErr w:type="spellEnd"/>
      <w:r w:rsidRPr="008A6C1B">
        <w:rPr>
          <w:rFonts w:hint="cs"/>
          <w:sz w:val="18"/>
          <w:szCs w:val="18"/>
          <w:rtl/>
        </w:rPr>
        <w:t xml:space="preserve"> מילתא </w:t>
      </w:r>
      <w:r w:rsidRPr="008A6C1B">
        <w:rPr>
          <w:sz w:val="18"/>
          <w:szCs w:val="18"/>
          <w:rtl/>
        </w:rPr>
        <w:t>–</w:t>
      </w:r>
      <w:r w:rsidRPr="008A6C1B">
        <w:rPr>
          <w:rFonts w:hint="cs"/>
          <w:sz w:val="18"/>
          <w:szCs w:val="18"/>
          <w:rtl/>
        </w:rPr>
        <w:t xml:space="preserve"> נחשב</w:t>
      </w:r>
      <w:r w:rsidR="00EC4731" w:rsidRPr="008A6C1B">
        <w:rPr>
          <w:rFonts w:hint="cs"/>
          <w:sz w:val="18"/>
          <w:szCs w:val="18"/>
          <w:rtl/>
        </w:rPr>
        <w:t>ת</w:t>
      </w:r>
      <w:r w:rsidRPr="008A6C1B">
        <w:rPr>
          <w:rFonts w:hint="cs"/>
          <w:sz w:val="18"/>
          <w:szCs w:val="18"/>
          <w:rtl/>
        </w:rPr>
        <w:t xml:space="preserve"> הרחה כאכילה</w:t>
      </w:r>
      <w:r w:rsidR="008A6C1B" w:rsidRPr="008A6C1B">
        <w:rPr>
          <w:rFonts w:hint="cs"/>
          <w:sz w:val="18"/>
          <w:szCs w:val="18"/>
          <w:rtl/>
        </w:rPr>
        <w:t>,</w:t>
      </w:r>
      <w:r w:rsidR="00572E3E" w:rsidRPr="008A6C1B">
        <w:rPr>
          <w:rFonts w:hint="cs"/>
          <w:sz w:val="18"/>
          <w:szCs w:val="18"/>
          <w:rtl/>
        </w:rPr>
        <w:t xml:space="preserve"> </w:t>
      </w:r>
      <w:r w:rsidRPr="008A6C1B">
        <w:rPr>
          <w:rFonts w:hint="cs"/>
          <w:sz w:val="18"/>
          <w:szCs w:val="18"/>
          <w:rtl/>
        </w:rPr>
        <w:t>ואסורה אף בדברי</w:t>
      </w:r>
      <w:r w:rsidR="00572E3E" w:rsidRPr="008A6C1B">
        <w:rPr>
          <w:rFonts w:hint="cs"/>
          <w:sz w:val="18"/>
          <w:szCs w:val="18"/>
          <w:rtl/>
        </w:rPr>
        <w:t xml:space="preserve">ם או מצבים האסורים באכילה בלבד. (ולמהלך אחר בראשונים </w:t>
      </w:r>
      <w:r w:rsidR="00572E3E" w:rsidRPr="008A6C1B">
        <w:rPr>
          <w:sz w:val="18"/>
          <w:szCs w:val="18"/>
          <w:rtl/>
        </w:rPr>
        <w:t>–</w:t>
      </w:r>
      <w:r w:rsidR="00572E3E" w:rsidRPr="008A6C1B">
        <w:rPr>
          <w:rFonts w:hint="cs"/>
          <w:sz w:val="18"/>
          <w:szCs w:val="18"/>
          <w:rtl/>
        </w:rPr>
        <w:t xml:space="preserve"> נחשבת ההרחה להנאה חשובה האסורה אף במצבים שסתם הנאה אינה צריכה להיות אסורה. וראה הרחבה בהמשך.)</w:t>
      </w:r>
    </w:p>
    <w:p w:rsidR="00EC4731" w:rsidRPr="008A6C1B" w:rsidRDefault="00D92766" w:rsidP="00D854B6">
      <w:pPr>
        <w:rPr>
          <w:sz w:val="18"/>
          <w:szCs w:val="18"/>
          <w:rtl/>
        </w:rPr>
      </w:pPr>
      <w:r w:rsidRPr="008A6C1B">
        <w:rPr>
          <w:rFonts w:hint="cs"/>
          <w:sz w:val="18"/>
          <w:szCs w:val="18"/>
          <w:rtl/>
        </w:rPr>
        <w:t xml:space="preserve">ב, אם </w:t>
      </w:r>
      <w:proofErr w:type="spellStart"/>
      <w:r w:rsidRPr="008A6C1B">
        <w:rPr>
          <w:rFonts w:hint="cs"/>
          <w:sz w:val="18"/>
          <w:szCs w:val="18"/>
          <w:rtl/>
        </w:rPr>
        <w:t>ריחא</w:t>
      </w:r>
      <w:proofErr w:type="spellEnd"/>
      <w:r w:rsidRPr="008A6C1B">
        <w:rPr>
          <w:rFonts w:hint="cs"/>
          <w:sz w:val="18"/>
          <w:szCs w:val="18"/>
          <w:rtl/>
        </w:rPr>
        <w:t xml:space="preserve"> מילתא </w:t>
      </w:r>
      <w:r w:rsidRPr="008A6C1B">
        <w:rPr>
          <w:sz w:val="18"/>
          <w:szCs w:val="18"/>
          <w:rtl/>
        </w:rPr>
        <w:t>–</w:t>
      </w:r>
      <w:r w:rsidRPr="008A6C1B">
        <w:rPr>
          <w:rFonts w:hint="cs"/>
          <w:sz w:val="18"/>
          <w:szCs w:val="18"/>
          <w:rtl/>
        </w:rPr>
        <w:t xml:space="preserve"> </w:t>
      </w:r>
      <w:r w:rsidR="005C04CE" w:rsidRPr="008A6C1B">
        <w:rPr>
          <w:rFonts w:hint="cs"/>
          <w:sz w:val="18"/>
          <w:szCs w:val="18"/>
          <w:rtl/>
        </w:rPr>
        <w:t>היתר שספג ריח של דבר הא</w:t>
      </w:r>
      <w:r w:rsidR="00D04E2C" w:rsidRPr="008A6C1B">
        <w:rPr>
          <w:rFonts w:hint="cs"/>
          <w:sz w:val="18"/>
          <w:szCs w:val="18"/>
          <w:rtl/>
        </w:rPr>
        <w:t xml:space="preserve">סור </w:t>
      </w:r>
      <w:r w:rsidR="00D04E2C" w:rsidRPr="008A6C1B">
        <w:rPr>
          <w:sz w:val="18"/>
          <w:szCs w:val="18"/>
          <w:rtl/>
        </w:rPr>
        <w:t>–</w:t>
      </w:r>
      <w:r w:rsidR="00D04E2C" w:rsidRPr="008A6C1B">
        <w:rPr>
          <w:rFonts w:hint="cs"/>
          <w:sz w:val="18"/>
          <w:szCs w:val="18"/>
          <w:rtl/>
        </w:rPr>
        <w:t xml:space="preserve"> על ידי בישול או אפיה משותפים, או כגון פת </w:t>
      </w:r>
      <w:proofErr w:type="spellStart"/>
      <w:r w:rsidR="00D04E2C" w:rsidRPr="008A6C1B">
        <w:rPr>
          <w:rFonts w:hint="cs"/>
          <w:sz w:val="18"/>
          <w:szCs w:val="18"/>
          <w:rtl/>
        </w:rPr>
        <w:t>שהיתה</w:t>
      </w:r>
      <w:proofErr w:type="spellEnd"/>
      <w:r w:rsidR="00D04E2C" w:rsidRPr="008A6C1B">
        <w:rPr>
          <w:rFonts w:hint="cs"/>
          <w:sz w:val="18"/>
          <w:szCs w:val="18"/>
          <w:rtl/>
        </w:rPr>
        <w:t xml:space="preserve"> על פי חבית יין </w:t>
      </w:r>
      <w:r w:rsidR="00D04E2C" w:rsidRPr="008A6C1B">
        <w:rPr>
          <w:sz w:val="18"/>
          <w:szCs w:val="18"/>
          <w:rtl/>
        </w:rPr>
        <w:t>–</w:t>
      </w:r>
      <w:r w:rsidR="00D04E2C" w:rsidRPr="008A6C1B">
        <w:rPr>
          <w:rFonts w:hint="cs"/>
          <w:sz w:val="18"/>
          <w:szCs w:val="18"/>
          <w:rtl/>
        </w:rPr>
        <w:t xml:space="preserve"> </w:t>
      </w:r>
      <w:r w:rsidRPr="008A6C1B">
        <w:rPr>
          <w:rFonts w:hint="cs"/>
          <w:sz w:val="18"/>
          <w:szCs w:val="18"/>
          <w:rtl/>
        </w:rPr>
        <w:t xml:space="preserve"> נאסר אף הוא באכילה.</w:t>
      </w:r>
    </w:p>
    <w:p w:rsidR="00EC4731" w:rsidRPr="008A6C1B" w:rsidRDefault="00EC4731" w:rsidP="008A6C1B">
      <w:pPr>
        <w:jc w:val="center"/>
        <w:rPr>
          <w:b/>
          <w:bCs/>
          <w:sz w:val="18"/>
          <w:szCs w:val="18"/>
          <w:rtl/>
        </w:rPr>
      </w:pPr>
      <w:r w:rsidRPr="008A6C1B">
        <w:rPr>
          <w:rFonts w:hint="cs"/>
          <w:b/>
          <w:bCs/>
          <w:sz w:val="18"/>
          <w:szCs w:val="18"/>
          <w:rtl/>
        </w:rPr>
        <w:t>המקרים המוזכרים בסוגיות</w:t>
      </w:r>
    </w:p>
    <w:p w:rsidR="00EC4731" w:rsidRPr="008A6C1B" w:rsidRDefault="00EC4731" w:rsidP="00EC4731">
      <w:pPr>
        <w:rPr>
          <w:sz w:val="18"/>
          <w:szCs w:val="18"/>
          <w:rtl/>
        </w:rPr>
      </w:pPr>
      <w:r w:rsidRPr="008A6C1B">
        <w:rPr>
          <w:rFonts w:hint="cs"/>
          <w:sz w:val="18"/>
          <w:szCs w:val="18"/>
          <w:rtl/>
        </w:rPr>
        <w:t xml:space="preserve">א' </w:t>
      </w:r>
      <w:r w:rsidRPr="008A6C1B">
        <w:rPr>
          <w:sz w:val="18"/>
          <w:szCs w:val="18"/>
          <w:rtl/>
        </w:rPr>
        <w:t>–</w:t>
      </w:r>
      <w:r w:rsidRPr="008A6C1B">
        <w:rPr>
          <w:rFonts w:hint="cs"/>
          <w:sz w:val="18"/>
          <w:szCs w:val="18"/>
          <w:rtl/>
        </w:rPr>
        <w:t xml:space="preserve"> </w:t>
      </w:r>
      <w:r w:rsidRPr="008A6C1B">
        <w:rPr>
          <w:rFonts w:hint="cs"/>
          <w:b/>
          <w:bCs/>
          <w:sz w:val="18"/>
          <w:szCs w:val="18"/>
          <w:rtl/>
        </w:rPr>
        <w:t>שחוטה שנצלתה עם נבילה</w:t>
      </w:r>
      <w:r w:rsidR="008A6C1B" w:rsidRPr="008A6C1B">
        <w:rPr>
          <w:rFonts w:hint="cs"/>
          <w:sz w:val="18"/>
          <w:szCs w:val="18"/>
          <w:rtl/>
        </w:rPr>
        <w:t xml:space="preserve"> </w:t>
      </w:r>
      <w:r w:rsidR="008A6C1B" w:rsidRPr="008A6C1B">
        <w:rPr>
          <w:sz w:val="18"/>
          <w:szCs w:val="18"/>
          <w:rtl/>
        </w:rPr>
        <w:t>–</w:t>
      </w:r>
      <w:r w:rsidR="008A6C1B" w:rsidRPr="008A6C1B">
        <w:rPr>
          <w:rFonts w:hint="cs"/>
          <w:sz w:val="18"/>
          <w:szCs w:val="18"/>
          <w:rtl/>
        </w:rPr>
        <w:t xml:space="preserve"> </w:t>
      </w:r>
      <w:r w:rsidRPr="008A6C1B">
        <w:rPr>
          <w:rFonts w:hint="cs"/>
          <w:sz w:val="18"/>
          <w:szCs w:val="18"/>
          <w:rtl/>
        </w:rPr>
        <w:t xml:space="preserve">רב </w:t>
      </w:r>
      <w:r w:rsidR="00825C2C" w:rsidRPr="008A6C1B">
        <w:rPr>
          <w:rFonts w:hint="cs"/>
          <w:sz w:val="18"/>
          <w:szCs w:val="18"/>
          <w:rtl/>
        </w:rPr>
        <w:t xml:space="preserve">אוסר </w:t>
      </w:r>
      <w:r w:rsidRPr="008A6C1B">
        <w:rPr>
          <w:rFonts w:hint="cs"/>
          <w:sz w:val="18"/>
          <w:szCs w:val="18"/>
          <w:rtl/>
        </w:rPr>
        <w:t>ולוי</w:t>
      </w:r>
      <w:r w:rsidR="00825C2C" w:rsidRPr="008A6C1B">
        <w:rPr>
          <w:rFonts w:hint="cs"/>
          <w:sz w:val="18"/>
          <w:szCs w:val="18"/>
          <w:rtl/>
        </w:rPr>
        <w:t xml:space="preserve"> מתיר</w:t>
      </w:r>
      <w:r w:rsidRPr="008A6C1B">
        <w:rPr>
          <w:rFonts w:hint="cs"/>
          <w:sz w:val="18"/>
          <w:szCs w:val="18"/>
          <w:rtl/>
        </w:rPr>
        <w:t xml:space="preserve">. </w:t>
      </w:r>
    </w:p>
    <w:p w:rsidR="00EC4731" w:rsidRPr="008A6C1B" w:rsidRDefault="00EC4731" w:rsidP="008A6C1B">
      <w:pPr>
        <w:rPr>
          <w:sz w:val="18"/>
          <w:szCs w:val="18"/>
          <w:rtl/>
        </w:rPr>
      </w:pPr>
      <w:r w:rsidRPr="008A6C1B">
        <w:rPr>
          <w:rFonts w:hint="cs"/>
          <w:sz w:val="18"/>
          <w:szCs w:val="18"/>
          <w:rtl/>
        </w:rPr>
        <w:t xml:space="preserve">ב' </w:t>
      </w:r>
      <w:r w:rsidRPr="008A6C1B">
        <w:rPr>
          <w:sz w:val="18"/>
          <w:szCs w:val="18"/>
          <w:rtl/>
        </w:rPr>
        <w:t>–</w:t>
      </w:r>
      <w:r w:rsidRPr="008A6C1B">
        <w:rPr>
          <w:rFonts w:hint="cs"/>
          <w:sz w:val="18"/>
          <w:szCs w:val="18"/>
          <w:rtl/>
        </w:rPr>
        <w:t xml:space="preserve"> </w:t>
      </w:r>
      <w:r w:rsidRPr="008A6C1B">
        <w:rPr>
          <w:rFonts w:hint="cs"/>
          <w:b/>
          <w:bCs/>
          <w:sz w:val="18"/>
          <w:szCs w:val="18"/>
          <w:rtl/>
        </w:rPr>
        <w:t>הרחת יין נסך</w:t>
      </w:r>
      <w:r w:rsidR="008A6C1B" w:rsidRPr="008A6C1B">
        <w:rPr>
          <w:rFonts w:hint="cs"/>
          <w:sz w:val="18"/>
          <w:szCs w:val="18"/>
          <w:rtl/>
        </w:rPr>
        <w:t xml:space="preserve"> </w:t>
      </w:r>
      <w:r w:rsidR="008A6C1B" w:rsidRPr="008A6C1B">
        <w:rPr>
          <w:sz w:val="18"/>
          <w:szCs w:val="18"/>
          <w:rtl/>
        </w:rPr>
        <w:t>–</w:t>
      </w:r>
      <w:r w:rsidR="008A6C1B" w:rsidRPr="008A6C1B">
        <w:rPr>
          <w:rFonts w:hint="cs"/>
          <w:sz w:val="18"/>
          <w:szCs w:val="18"/>
          <w:rtl/>
        </w:rPr>
        <w:t xml:space="preserve"> </w:t>
      </w:r>
      <w:proofErr w:type="spellStart"/>
      <w:r w:rsidR="00825C2C" w:rsidRPr="008A6C1B">
        <w:rPr>
          <w:rFonts w:hint="cs"/>
          <w:sz w:val="18"/>
          <w:szCs w:val="18"/>
          <w:rtl/>
        </w:rPr>
        <w:t>אביי</w:t>
      </w:r>
      <w:proofErr w:type="spellEnd"/>
      <w:r w:rsidR="00825C2C" w:rsidRPr="008A6C1B">
        <w:rPr>
          <w:rFonts w:hint="cs"/>
          <w:sz w:val="18"/>
          <w:szCs w:val="18"/>
          <w:rtl/>
        </w:rPr>
        <w:t xml:space="preserve"> אוסר</w:t>
      </w:r>
      <w:r w:rsidRPr="008A6C1B">
        <w:rPr>
          <w:rFonts w:hint="cs"/>
          <w:sz w:val="18"/>
          <w:szCs w:val="18"/>
          <w:rtl/>
        </w:rPr>
        <w:t xml:space="preserve"> ורבא</w:t>
      </w:r>
      <w:r w:rsidR="00825C2C" w:rsidRPr="008A6C1B">
        <w:rPr>
          <w:rFonts w:hint="cs"/>
          <w:sz w:val="18"/>
          <w:szCs w:val="18"/>
          <w:rtl/>
        </w:rPr>
        <w:t xml:space="preserve"> מתיר</w:t>
      </w:r>
      <w:r w:rsidRPr="008A6C1B">
        <w:rPr>
          <w:rFonts w:hint="cs"/>
          <w:sz w:val="18"/>
          <w:szCs w:val="18"/>
          <w:rtl/>
        </w:rPr>
        <w:t xml:space="preserve">. </w:t>
      </w:r>
    </w:p>
    <w:p w:rsidR="00740DAA" w:rsidRPr="008A6C1B" w:rsidRDefault="00D854B6" w:rsidP="00D854B6">
      <w:pPr>
        <w:jc w:val="both"/>
        <w:rPr>
          <w:sz w:val="18"/>
          <w:szCs w:val="18"/>
          <w:rtl/>
        </w:rPr>
      </w:pPr>
      <w:r>
        <w:rPr>
          <w:rFonts w:hint="cs"/>
          <w:sz w:val="18"/>
          <w:szCs w:val="18"/>
          <w:rtl/>
        </w:rPr>
        <w:t>{</w:t>
      </w:r>
      <w:r w:rsidR="006D2253" w:rsidRPr="008A6C1B">
        <w:rPr>
          <w:rFonts w:hint="cs"/>
          <w:sz w:val="18"/>
          <w:szCs w:val="18"/>
          <w:rtl/>
        </w:rPr>
        <w:t xml:space="preserve">והנה במקרה זה יש להאריך קצת. דיש כאן מחלוקת בראשונים מהו המקרה המדויק בהרחה זו, ומהו גדר איסורה. </w:t>
      </w:r>
      <w:r>
        <w:rPr>
          <w:rFonts w:hint="cs"/>
          <w:sz w:val="18"/>
          <w:szCs w:val="18"/>
          <w:rtl/>
        </w:rPr>
        <w:t xml:space="preserve">        </w:t>
      </w:r>
      <w:proofErr w:type="spellStart"/>
      <w:r w:rsidR="006D2253" w:rsidRPr="008A6C1B">
        <w:rPr>
          <w:rFonts w:hint="cs"/>
          <w:sz w:val="18"/>
          <w:szCs w:val="18"/>
          <w:rtl/>
        </w:rPr>
        <w:t>דהנה</w:t>
      </w:r>
      <w:proofErr w:type="spellEnd"/>
      <w:r w:rsidR="009C574B" w:rsidRPr="008A6C1B">
        <w:rPr>
          <w:rFonts w:hint="cs"/>
          <w:sz w:val="18"/>
          <w:szCs w:val="18"/>
          <w:rtl/>
        </w:rPr>
        <w:t xml:space="preserve"> שיטת רש"י </w:t>
      </w:r>
      <w:proofErr w:type="spellStart"/>
      <w:r w:rsidR="009C574B" w:rsidRPr="008A6C1B">
        <w:rPr>
          <w:rFonts w:hint="cs"/>
          <w:sz w:val="18"/>
          <w:szCs w:val="18"/>
          <w:rtl/>
        </w:rPr>
        <w:t>ותוס</w:t>
      </w:r>
      <w:proofErr w:type="spellEnd"/>
      <w:r w:rsidR="009C574B" w:rsidRPr="008A6C1B">
        <w:rPr>
          <w:rFonts w:hint="cs"/>
          <w:sz w:val="18"/>
          <w:szCs w:val="18"/>
          <w:rtl/>
        </w:rPr>
        <w:t xml:space="preserve">' (וכן פשטות הרמב"ם) </w:t>
      </w:r>
      <w:proofErr w:type="spellStart"/>
      <w:r w:rsidR="009C574B" w:rsidRPr="008A6C1B">
        <w:rPr>
          <w:rFonts w:hint="cs"/>
          <w:sz w:val="18"/>
          <w:szCs w:val="18"/>
          <w:rtl/>
        </w:rPr>
        <w:t>שמיירי</w:t>
      </w:r>
      <w:proofErr w:type="spellEnd"/>
      <w:r w:rsidR="009C574B" w:rsidRPr="008A6C1B">
        <w:rPr>
          <w:rFonts w:hint="cs"/>
          <w:sz w:val="18"/>
          <w:szCs w:val="18"/>
          <w:rtl/>
        </w:rPr>
        <w:t xml:space="preserve"> בהרחה דרך האף. </w:t>
      </w:r>
      <w:r>
        <w:rPr>
          <w:rFonts w:hint="cs"/>
          <w:sz w:val="18"/>
          <w:szCs w:val="18"/>
          <w:rtl/>
        </w:rPr>
        <w:t xml:space="preserve">     </w:t>
      </w:r>
      <w:r w:rsidR="009C574B" w:rsidRPr="008A6C1B">
        <w:rPr>
          <w:rFonts w:hint="cs"/>
          <w:sz w:val="18"/>
          <w:szCs w:val="18"/>
          <w:rtl/>
        </w:rPr>
        <w:t xml:space="preserve">ולעומת זאת שיטת </w:t>
      </w:r>
      <w:r w:rsidR="00740DAA" w:rsidRPr="008A6C1B">
        <w:rPr>
          <w:rFonts w:hint="cs"/>
          <w:sz w:val="18"/>
          <w:szCs w:val="18"/>
          <w:rtl/>
        </w:rPr>
        <w:t>הערוך והגאונים, והביאום</w:t>
      </w:r>
      <w:r w:rsidR="000F7308" w:rsidRPr="008A6C1B">
        <w:rPr>
          <w:rFonts w:hint="cs"/>
          <w:sz w:val="18"/>
          <w:szCs w:val="18"/>
          <w:rtl/>
        </w:rPr>
        <w:t xml:space="preserve"> הרמב"ן </w:t>
      </w:r>
      <w:proofErr w:type="spellStart"/>
      <w:r w:rsidR="000F7308" w:rsidRPr="008A6C1B">
        <w:rPr>
          <w:rFonts w:hint="cs"/>
          <w:sz w:val="18"/>
          <w:szCs w:val="18"/>
          <w:rtl/>
        </w:rPr>
        <w:t>וש"ר</w:t>
      </w:r>
      <w:proofErr w:type="spellEnd"/>
      <w:r w:rsidR="00740DAA" w:rsidRPr="008A6C1B">
        <w:rPr>
          <w:rFonts w:hint="cs"/>
          <w:sz w:val="18"/>
          <w:szCs w:val="18"/>
          <w:rtl/>
        </w:rPr>
        <w:t>,</w:t>
      </w:r>
      <w:r w:rsidR="000F7308" w:rsidRPr="008A6C1B">
        <w:rPr>
          <w:rFonts w:hint="cs"/>
          <w:sz w:val="18"/>
          <w:szCs w:val="18"/>
          <w:rtl/>
        </w:rPr>
        <w:t xml:space="preserve"> </w:t>
      </w:r>
      <w:proofErr w:type="spellStart"/>
      <w:r w:rsidR="000F7308" w:rsidRPr="008A6C1B">
        <w:rPr>
          <w:rFonts w:hint="cs"/>
          <w:sz w:val="18"/>
          <w:szCs w:val="18"/>
          <w:rtl/>
        </w:rPr>
        <w:t>שמיירי</w:t>
      </w:r>
      <w:proofErr w:type="spellEnd"/>
      <w:r w:rsidR="000F7308" w:rsidRPr="008A6C1B">
        <w:rPr>
          <w:rFonts w:hint="cs"/>
          <w:sz w:val="18"/>
          <w:szCs w:val="18"/>
          <w:rtl/>
        </w:rPr>
        <w:t xml:space="preserve"> בהרחה דרך הפה.</w:t>
      </w:r>
      <w:r>
        <w:rPr>
          <w:rFonts w:hint="cs"/>
          <w:sz w:val="18"/>
          <w:szCs w:val="18"/>
          <w:rtl/>
        </w:rPr>
        <w:t xml:space="preserve">       </w:t>
      </w:r>
      <w:r w:rsidR="000F7308" w:rsidRPr="008A6C1B">
        <w:rPr>
          <w:rFonts w:hint="cs"/>
          <w:sz w:val="18"/>
          <w:szCs w:val="18"/>
          <w:rtl/>
        </w:rPr>
        <w:t>ו</w:t>
      </w:r>
      <w:r w:rsidR="00740DAA" w:rsidRPr="008A6C1B">
        <w:rPr>
          <w:rFonts w:hint="cs"/>
          <w:sz w:val="18"/>
          <w:szCs w:val="18"/>
          <w:rtl/>
        </w:rPr>
        <w:t xml:space="preserve">לשיטת הערוך </w:t>
      </w:r>
      <w:proofErr w:type="spellStart"/>
      <w:r w:rsidR="00740DAA" w:rsidRPr="008A6C1B">
        <w:rPr>
          <w:rFonts w:hint="cs"/>
          <w:sz w:val="18"/>
          <w:szCs w:val="18"/>
          <w:rtl/>
        </w:rPr>
        <w:t>ודעימיה</w:t>
      </w:r>
      <w:proofErr w:type="spellEnd"/>
      <w:r w:rsidR="00740DAA" w:rsidRPr="008A6C1B">
        <w:rPr>
          <w:rFonts w:hint="cs"/>
          <w:sz w:val="18"/>
          <w:szCs w:val="18"/>
          <w:rtl/>
        </w:rPr>
        <w:t xml:space="preserve"> </w:t>
      </w:r>
      <w:r w:rsidR="00740DAA" w:rsidRPr="008A6C1B">
        <w:rPr>
          <w:sz w:val="18"/>
          <w:szCs w:val="18"/>
          <w:rtl/>
        </w:rPr>
        <w:t>–</w:t>
      </w:r>
      <w:r w:rsidR="00740DAA" w:rsidRPr="008A6C1B">
        <w:rPr>
          <w:rFonts w:hint="cs"/>
          <w:sz w:val="18"/>
          <w:szCs w:val="18"/>
          <w:rtl/>
        </w:rPr>
        <w:t xml:space="preserve"> פשיטא לראשונים שהאיסור כאן הוא מצד איסור </w:t>
      </w:r>
      <w:r w:rsidR="00740DAA" w:rsidRPr="008A6C1B">
        <w:rPr>
          <w:rFonts w:hint="cs"/>
          <w:b/>
          <w:bCs/>
          <w:sz w:val="18"/>
          <w:szCs w:val="18"/>
          <w:rtl/>
        </w:rPr>
        <w:t>אכילה</w:t>
      </w:r>
      <w:r w:rsidR="005D182F" w:rsidRPr="008A6C1B">
        <w:rPr>
          <w:rStyle w:val="a5"/>
          <w:sz w:val="18"/>
          <w:szCs w:val="18"/>
          <w:rtl/>
        </w:rPr>
        <w:footnoteReference w:id="4"/>
      </w:r>
      <w:r w:rsidR="00740DAA" w:rsidRPr="008A6C1B">
        <w:rPr>
          <w:rFonts w:hint="cs"/>
          <w:sz w:val="18"/>
          <w:szCs w:val="18"/>
          <w:rtl/>
        </w:rPr>
        <w:t xml:space="preserve">, והתחדש כאן ששאיפת אויר דרך הפה היא גופא מוגדרת אכילה, וזה גופא החידוש של </w:t>
      </w:r>
      <w:proofErr w:type="spellStart"/>
      <w:r w:rsidR="00740DAA" w:rsidRPr="008A6C1B">
        <w:rPr>
          <w:rFonts w:hint="cs"/>
          <w:sz w:val="18"/>
          <w:szCs w:val="18"/>
          <w:rtl/>
        </w:rPr>
        <w:t>ריחא</w:t>
      </w:r>
      <w:proofErr w:type="spellEnd"/>
      <w:r w:rsidR="00740DAA" w:rsidRPr="008A6C1B">
        <w:rPr>
          <w:rFonts w:hint="cs"/>
          <w:sz w:val="18"/>
          <w:szCs w:val="18"/>
          <w:rtl/>
        </w:rPr>
        <w:t xml:space="preserve"> מילתא</w:t>
      </w:r>
      <w:r w:rsidR="008A6C1B" w:rsidRPr="008A6C1B">
        <w:rPr>
          <w:rStyle w:val="a5"/>
          <w:sz w:val="18"/>
          <w:szCs w:val="18"/>
          <w:rtl/>
        </w:rPr>
        <w:footnoteReference w:id="5"/>
      </w:r>
      <w:r w:rsidR="00740DAA" w:rsidRPr="008A6C1B">
        <w:rPr>
          <w:rFonts w:hint="cs"/>
          <w:sz w:val="18"/>
          <w:szCs w:val="18"/>
          <w:rtl/>
        </w:rPr>
        <w:t>.</w:t>
      </w:r>
      <w:r>
        <w:rPr>
          <w:rFonts w:hint="cs"/>
          <w:sz w:val="18"/>
          <w:szCs w:val="18"/>
          <w:rtl/>
        </w:rPr>
        <w:t xml:space="preserve">    </w:t>
      </w:r>
      <w:r w:rsidR="00740DAA" w:rsidRPr="008A6C1B">
        <w:rPr>
          <w:rFonts w:hint="cs"/>
          <w:sz w:val="18"/>
          <w:szCs w:val="18"/>
          <w:rtl/>
        </w:rPr>
        <w:t xml:space="preserve">אמנם לשיטת רש"י </w:t>
      </w:r>
      <w:proofErr w:type="spellStart"/>
      <w:r w:rsidR="00740DAA" w:rsidRPr="008A6C1B">
        <w:rPr>
          <w:rFonts w:hint="cs"/>
          <w:sz w:val="18"/>
          <w:szCs w:val="18"/>
          <w:rtl/>
        </w:rPr>
        <w:t>ותוס</w:t>
      </w:r>
      <w:proofErr w:type="spellEnd"/>
      <w:r w:rsidR="00740DAA" w:rsidRPr="008A6C1B">
        <w:rPr>
          <w:rFonts w:hint="cs"/>
          <w:sz w:val="18"/>
          <w:szCs w:val="18"/>
          <w:rtl/>
        </w:rPr>
        <w:t>'</w:t>
      </w:r>
      <w:r w:rsidR="000D3E52">
        <w:rPr>
          <w:rFonts w:hint="cs"/>
          <w:sz w:val="18"/>
          <w:szCs w:val="18"/>
          <w:rtl/>
        </w:rPr>
        <w:t xml:space="preserve"> </w:t>
      </w:r>
      <w:proofErr w:type="spellStart"/>
      <w:r w:rsidR="000D3E52">
        <w:rPr>
          <w:rFonts w:hint="cs"/>
          <w:sz w:val="18"/>
          <w:szCs w:val="18"/>
          <w:rtl/>
        </w:rPr>
        <w:t>שמיירי</w:t>
      </w:r>
      <w:proofErr w:type="spellEnd"/>
      <w:r w:rsidR="000D3E52">
        <w:rPr>
          <w:rFonts w:hint="cs"/>
          <w:sz w:val="18"/>
          <w:szCs w:val="18"/>
          <w:rtl/>
        </w:rPr>
        <w:t xml:space="preserve"> בהרחה דרך האף</w:t>
      </w:r>
      <w:bookmarkStart w:id="0" w:name="_GoBack"/>
      <w:bookmarkEnd w:id="0"/>
      <w:r w:rsidR="00740DAA" w:rsidRPr="008A6C1B">
        <w:rPr>
          <w:rFonts w:hint="cs"/>
          <w:sz w:val="18"/>
          <w:szCs w:val="18"/>
          <w:rtl/>
        </w:rPr>
        <w:t xml:space="preserve">, נחלקו הראשונים מחמת מה אוסר </w:t>
      </w:r>
      <w:proofErr w:type="spellStart"/>
      <w:r w:rsidR="00740DAA" w:rsidRPr="008A6C1B">
        <w:rPr>
          <w:rFonts w:hint="cs"/>
          <w:sz w:val="18"/>
          <w:szCs w:val="18"/>
          <w:rtl/>
        </w:rPr>
        <w:t>אביי</w:t>
      </w:r>
      <w:proofErr w:type="spellEnd"/>
      <w:r w:rsidR="00740DAA" w:rsidRPr="008A6C1B">
        <w:rPr>
          <w:rFonts w:hint="cs"/>
          <w:sz w:val="18"/>
          <w:szCs w:val="18"/>
          <w:rtl/>
        </w:rPr>
        <w:t xml:space="preserve">. </w:t>
      </w:r>
      <w:proofErr w:type="spellStart"/>
      <w:r w:rsidR="00740DAA" w:rsidRPr="008A6C1B">
        <w:rPr>
          <w:rFonts w:hint="cs"/>
          <w:sz w:val="18"/>
          <w:szCs w:val="18"/>
          <w:rtl/>
        </w:rPr>
        <w:t>דבתוס</w:t>
      </w:r>
      <w:proofErr w:type="spellEnd"/>
      <w:r w:rsidR="00740DAA" w:rsidRPr="008A6C1B">
        <w:rPr>
          <w:rFonts w:hint="cs"/>
          <w:sz w:val="18"/>
          <w:szCs w:val="18"/>
          <w:rtl/>
        </w:rPr>
        <w:t xml:space="preserve">' בפסחים משמע שאסור מצד אכילה, והוא חידוש גדול מאוד, שאף הרחה דרך האף נחשבת כאכילה. אמנם </w:t>
      </w:r>
      <w:proofErr w:type="spellStart"/>
      <w:r w:rsidR="00740DAA" w:rsidRPr="008A6C1B">
        <w:rPr>
          <w:rFonts w:hint="cs"/>
          <w:sz w:val="18"/>
          <w:szCs w:val="18"/>
          <w:rtl/>
        </w:rPr>
        <w:t>בתוס</w:t>
      </w:r>
      <w:proofErr w:type="spellEnd"/>
      <w:r w:rsidR="00740DAA" w:rsidRPr="008A6C1B">
        <w:rPr>
          <w:rFonts w:hint="cs"/>
          <w:sz w:val="18"/>
          <w:szCs w:val="18"/>
          <w:rtl/>
        </w:rPr>
        <w:t xml:space="preserve">' </w:t>
      </w:r>
      <w:proofErr w:type="spellStart"/>
      <w:r w:rsidR="00740DAA" w:rsidRPr="008A6C1B">
        <w:rPr>
          <w:rFonts w:hint="cs"/>
          <w:sz w:val="18"/>
          <w:szCs w:val="18"/>
          <w:rtl/>
        </w:rPr>
        <w:t>ב"ק</w:t>
      </w:r>
      <w:proofErr w:type="spellEnd"/>
      <w:r w:rsidR="00740DAA" w:rsidRPr="008A6C1B">
        <w:rPr>
          <w:rFonts w:hint="cs"/>
          <w:sz w:val="18"/>
          <w:szCs w:val="18"/>
          <w:rtl/>
        </w:rPr>
        <w:t xml:space="preserve"> קט"ז. ד"ה "הכרעה", וכן ברמב"ן במלחמות פרק כיצד </w:t>
      </w:r>
      <w:proofErr w:type="spellStart"/>
      <w:r w:rsidR="00740DAA" w:rsidRPr="008A6C1B">
        <w:rPr>
          <w:rFonts w:hint="cs"/>
          <w:sz w:val="18"/>
          <w:szCs w:val="18"/>
          <w:rtl/>
        </w:rPr>
        <w:t>צולין</w:t>
      </w:r>
      <w:proofErr w:type="spellEnd"/>
      <w:r w:rsidR="00740DAA" w:rsidRPr="008A6C1B">
        <w:rPr>
          <w:rFonts w:hint="cs"/>
          <w:sz w:val="18"/>
          <w:szCs w:val="18"/>
          <w:rtl/>
        </w:rPr>
        <w:t xml:space="preserve">, וכן </w:t>
      </w:r>
      <w:proofErr w:type="spellStart"/>
      <w:r w:rsidR="00740DAA" w:rsidRPr="008A6C1B">
        <w:rPr>
          <w:rFonts w:hint="cs"/>
          <w:sz w:val="18"/>
          <w:szCs w:val="18"/>
          <w:rtl/>
        </w:rPr>
        <w:t>ברשב"א</w:t>
      </w:r>
      <w:proofErr w:type="spellEnd"/>
      <w:r w:rsidR="00740DAA" w:rsidRPr="008A6C1B">
        <w:rPr>
          <w:rFonts w:hint="cs"/>
          <w:sz w:val="18"/>
          <w:szCs w:val="18"/>
          <w:rtl/>
        </w:rPr>
        <w:t xml:space="preserve"> בתשובה (</w:t>
      </w:r>
      <w:proofErr w:type="spellStart"/>
      <w:r w:rsidR="00740DAA" w:rsidRPr="008A6C1B">
        <w:rPr>
          <w:rFonts w:hint="cs"/>
          <w:sz w:val="18"/>
          <w:szCs w:val="18"/>
          <w:rtl/>
        </w:rPr>
        <w:t>ח"ג</w:t>
      </w:r>
      <w:proofErr w:type="spellEnd"/>
      <w:r w:rsidR="00740DAA" w:rsidRPr="008A6C1B">
        <w:rPr>
          <w:rFonts w:hint="cs"/>
          <w:sz w:val="18"/>
          <w:szCs w:val="18"/>
          <w:rtl/>
        </w:rPr>
        <w:t xml:space="preserve"> רכ"ד) פשיטא להו שלפי שיטה זו בהכרח האיסור הוא מצד איסור הנאה.</w:t>
      </w:r>
      <w:r w:rsidR="00572E3E" w:rsidRPr="008A6C1B">
        <w:rPr>
          <w:rFonts w:hint="cs"/>
          <w:sz w:val="18"/>
          <w:szCs w:val="18"/>
          <w:rtl/>
        </w:rPr>
        <w:t xml:space="preserve"> [אלא שלולי "</w:t>
      </w:r>
      <w:proofErr w:type="spellStart"/>
      <w:r w:rsidR="00572E3E" w:rsidRPr="008A6C1B">
        <w:rPr>
          <w:rFonts w:hint="cs"/>
          <w:sz w:val="18"/>
          <w:szCs w:val="18"/>
          <w:rtl/>
        </w:rPr>
        <w:t>ריחא</w:t>
      </w:r>
      <w:proofErr w:type="spellEnd"/>
      <w:r w:rsidR="00572E3E" w:rsidRPr="008A6C1B">
        <w:rPr>
          <w:rFonts w:hint="cs"/>
          <w:sz w:val="18"/>
          <w:szCs w:val="18"/>
          <w:rtl/>
        </w:rPr>
        <w:t xml:space="preserve"> מילתא" </w:t>
      </w:r>
      <w:r w:rsidR="00572E3E" w:rsidRPr="008A6C1B">
        <w:rPr>
          <w:sz w:val="18"/>
          <w:szCs w:val="18"/>
          <w:rtl/>
        </w:rPr>
        <w:t>–</w:t>
      </w:r>
      <w:r w:rsidR="00572E3E" w:rsidRPr="008A6C1B">
        <w:rPr>
          <w:rFonts w:hint="cs"/>
          <w:sz w:val="18"/>
          <w:szCs w:val="18"/>
          <w:rtl/>
        </w:rPr>
        <w:t xml:space="preserve"> לא היה צריך לאסור כאן מצד הנאה רגילה, </w:t>
      </w:r>
      <w:proofErr w:type="spellStart"/>
      <w:r w:rsidR="00572E3E" w:rsidRPr="008A6C1B">
        <w:rPr>
          <w:rFonts w:hint="cs"/>
          <w:sz w:val="18"/>
          <w:szCs w:val="18"/>
          <w:rtl/>
        </w:rPr>
        <w:t>וכדלהלן</w:t>
      </w:r>
      <w:proofErr w:type="spellEnd"/>
      <w:r w:rsidR="00572E3E" w:rsidRPr="008A6C1B">
        <w:rPr>
          <w:rFonts w:hint="cs"/>
          <w:sz w:val="18"/>
          <w:szCs w:val="18"/>
          <w:rtl/>
        </w:rPr>
        <w:t>.]</w:t>
      </w:r>
      <w:r w:rsidR="00740DAA" w:rsidRPr="008A6C1B">
        <w:rPr>
          <w:rFonts w:hint="cs"/>
          <w:sz w:val="18"/>
          <w:szCs w:val="18"/>
          <w:rtl/>
        </w:rPr>
        <w:t xml:space="preserve">  </w:t>
      </w:r>
    </w:p>
    <w:p w:rsidR="00825C2C" w:rsidRPr="008A6C1B" w:rsidRDefault="00740DAA" w:rsidP="00D854B6">
      <w:pPr>
        <w:jc w:val="both"/>
        <w:rPr>
          <w:sz w:val="18"/>
          <w:szCs w:val="18"/>
        </w:rPr>
      </w:pPr>
      <w:r w:rsidRPr="008A6C1B">
        <w:rPr>
          <w:rFonts w:hint="cs"/>
          <w:sz w:val="18"/>
          <w:szCs w:val="18"/>
          <w:rtl/>
        </w:rPr>
        <w:t xml:space="preserve">ומה שאינו אסור מצד איסור הנאה פשוט, </w:t>
      </w:r>
      <w:proofErr w:type="spellStart"/>
      <w:r w:rsidRPr="008A6C1B">
        <w:rPr>
          <w:rFonts w:hint="cs"/>
          <w:sz w:val="18"/>
          <w:szCs w:val="18"/>
          <w:rtl/>
        </w:rPr>
        <w:t>לכ"ע</w:t>
      </w:r>
      <w:proofErr w:type="spellEnd"/>
      <w:r w:rsidRPr="008A6C1B">
        <w:rPr>
          <w:rFonts w:hint="cs"/>
          <w:sz w:val="18"/>
          <w:szCs w:val="18"/>
          <w:rtl/>
        </w:rPr>
        <w:t xml:space="preserve">, אף למאן דלית ליה </w:t>
      </w:r>
      <w:proofErr w:type="spellStart"/>
      <w:r w:rsidRPr="008A6C1B">
        <w:rPr>
          <w:rFonts w:hint="cs"/>
          <w:sz w:val="18"/>
          <w:szCs w:val="18"/>
          <w:rtl/>
        </w:rPr>
        <w:t>ריחא</w:t>
      </w:r>
      <w:proofErr w:type="spellEnd"/>
      <w:r w:rsidRPr="008A6C1B">
        <w:rPr>
          <w:rFonts w:hint="cs"/>
          <w:sz w:val="18"/>
          <w:szCs w:val="18"/>
          <w:rtl/>
        </w:rPr>
        <w:t xml:space="preserve"> מילתא, התקשו בזה הראשונים</w:t>
      </w:r>
      <w:r w:rsidR="00F15C12" w:rsidRPr="008A6C1B">
        <w:rPr>
          <w:rStyle w:val="a5"/>
          <w:sz w:val="18"/>
          <w:szCs w:val="18"/>
          <w:rtl/>
        </w:rPr>
        <w:footnoteReference w:id="6"/>
      </w:r>
      <w:r w:rsidR="00F15C12" w:rsidRPr="008A6C1B">
        <w:rPr>
          <w:rFonts w:hint="cs"/>
          <w:sz w:val="18"/>
          <w:szCs w:val="18"/>
          <w:rtl/>
        </w:rPr>
        <w:t xml:space="preserve">, </w:t>
      </w:r>
      <w:r w:rsidR="00E67DA9" w:rsidRPr="008A6C1B">
        <w:rPr>
          <w:rFonts w:hint="cs"/>
          <w:sz w:val="18"/>
          <w:szCs w:val="18"/>
          <w:rtl/>
        </w:rPr>
        <w:t>ותירצו בד' אנפי</w:t>
      </w:r>
      <w:r w:rsidR="00EC4731" w:rsidRPr="008A6C1B">
        <w:rPr>
          <w:rFonts w:hint="cs"/>
          <w:sz w:val="18"/>
          <w:szCs w:val="18"/>
          <w:rtl/>
        </w:rPr>
        <w:t>: א, כיון שאין היין עומד להרחה, אין זה מוגדר הנאה לגבי איסור הנאה</w:t>
      </w:r>
      <w:r w:rsidR="00B230DE" w:rsidRPr="008A6C1B">
        <w:rPr>
          <w:rStyle w:val="a5"/>
          <w:sz w:val="18"/>
          <w:szCs w:val="18"/>
          <w:rtl/>
        </w:rPr>
        <w:footnoteReference w:id="7"/>
      </w:r>
      <w:r w:rsidR="00EC4731" w:rsidRPr="008A6C1B">
        <w:rPr>
          <w:rFonts w:hint="cs"/>
          <w:sz w:val="18"/>
          <w:szCs w:val="18"/>
          <w:rtl/>
        </w:rPr>
        <w:t>. ב, כיון שהרחת היין מזיקה, אין זה מוגדר הנאה</w:t>
      </w:r>
      <w:r w:rsidR="00B230DE" w:rsidRPr="008A6C1B">
        <w:rPr>
          <w:rStyle w:val="a5"/>
          <w:sz w:val="18"/>
          <w:szCs w:val="18"/>
          <w:rtl/>
        </w:rPr>
        <w:footnoteReference w:id="8"/>
      </w:r>
      <w:r w:rsidR="00EC4731" w:rsidRPr="008A6C1B">
        <w:rPr>
          <w:rFonts w:hint="cs"/>
          <w:sz w:val="18"/>
          <w:szCs w:val="18"/>
          <w:rtl/>
        </w:rPr>
        <w:t xml:space="preserve">. ג, כיון שאינו מתכוון </w:t>
      </w:r>
      <w:proofErr w:type="spellStart"/>
      <w:r w:rsidR="00EC4731" w:rsidRPr="008A6C1B">
        <w:rPr>
          <w:rFonts w:hint="cs"/>
          <w:sz w:val="18"/>
          <w:szCs w:val="18"/>
          <w:rtl/>
        </w:rPr>
        <w:t>להנות</w:t>
      </w:r>
      <w:proofErr w:type="spellEnd"/>
      <w:r w:rsidR="00EC4731" w:rsidRPr="008A6C1B">
        <w:rPr>
          <w:rFonts w:hint="cs"/>
          <w:sz w:val="18"/>
          <w:szCs w:val="18"/>
          <w:rtl/>
        </w:rPr>
        <w:t>, מותר מדין אינו מתכוון</w:t>
      </w:r>
      <w:r w:rsidR="00F15C12" w:rsidRPr="008A6C1B">
        <w:rPr>
          <w:rStyle w:val="a5"/>
          <w:sz w:val="18"/>
          <w:szCs w:val="18"/>
          <w:rtl/>
        </w:rPr>
        <w:footnoteReference w:id="9"/>
      </w:r>
      <w:r w:rsidR="00EC4731" w:rsidRPr="008A6C1B">
        <w:rPr>
          <w:rFonts w:hint="cs"/>
          <w:sz w:val="18"/>
          <w:szCs w:val="18"/>
          <w:rtl/>
        </w:rPr>
        <w:t>.</w:t>
      </w:r>
      <w:r w:rsidR="00E67DA9" w:rsidRPr="008A6C1B">
        <w:rPr>
          <w:rFonts w:hint="cs"/>
          <w:sz w:val="18"/>
          <w:szCs w:val="18"/>
          <w:rtl/>
        </w:rPr>
        <w:t xml:space="preserve"> ד', כיון שמריח דרך הפה, אינו נהנה</w:t>
      </w:r>
      <w:r w:rsidR="00E67DA9" w:rsidRPr="008A6C1B">
        <w:rPr>
          <w:rStyle w:val="a5"/>
          <w:sz w:val="18"/>
          <w:szCs w:val="18"/>
          <w:rtl/>
        </w:rPr>
        <w:footnoteReference w:id="10"/>
      </w:r>
      <w:r w:rsidR="00E67DA9" w:rsidRPr="008A6C1B">
        <w:rPr>
          <w:rFonts w:hint="cs"/>
          <w:sz w:val="18"/>
          <w:szCs w:val="18"/>
          <w:rtl/>
        </w:rPr>
        <w:t>.</w:t>
      </w:r>
      <w:r w:rsidR="00D854B6">
        <w:rPr>
          <w:rFonts w:hint="cs"/>
          <w:sz w:val="18"/>
          <w:szCs w:val="18"/>
          <w:rtl/>
        </w:rPr>
        <w:t>}</w:t>
      </w:r>
    </w:p>
    <w:p w:rsidR="00825C2C" w:rsidRPr="008A6C1B" w:rsidRDefault="00825C2C" w:rsidP="00825C2C">
      <w:pPr>
        <w:rPr>
          <w:sz w:val="18"/>
          <w:szCs w:val="18"/>
          <w:rtl/>
        </w:rPr>
      </w:pPr>
      <w:r w:rsidRPr="008A6C1B">
        <w:rPr>
          <w:rFonts w:hint="cs"/>
          <w:sz w:val="18"/>
          <w:szCs w:val="18"/>
          <w:rtl/>
        </w:rPr>
        <w:t xml:space="preserve">ג' </w:t>
      </w:r>
      <w:r w:rsidRPr="008A6C1B">
        <w:rPr>
          <w:sz w:val="18"/>
          <w:szCs w:val="18"/>
          <w:rtl/>
        </w:rPr>
        <w:t>–</w:t>
      </w:r>
      <w:r w:rsidRPr="008A6C1B">
        <w:rPr>
          <w:rFonts w:hint="cs"/>
          <w:sz w:val="18"/>
          <w:szCs w:val="18"/>
          <w:rtl/>
        </w:rPr>
        <w:t xml:space="preserve"> </w:t>
      </w:r>
      <w:r w:rsidRPr="008A6C1B">
        <w:rPr>
          <w:rFonts w:hint="cs"/>
          <w:b/>
          <w:bCs/>
          <w:sz w:val="18"/>
          <w:szCs w:val="18"/>
          <w:rtl/>
        </w:rPr>
        <w:t xml:space="preserve">פת שנאפתה בעצי כמון של תרומה </w:t>
      </w:r>
      <w:r w:rsidR="008A6C1B" w:rsidRPr="008A6C1B">
        <w:rPr>
          <w:sz w:val="18"/>
          <w:szCs w:val="18"/>
          <w:rtl/>
        </w:rPr>
        <w:t>–</w:t>
      </w:r>
      <w:r w:rsidR="008A6C1B" w:rsidRPr="008A6C1B">
        <w:rPr>
          <w:rFonts w:hint="cs"/>
          <w:sz w:val="18"/>
          <w:szCs w:val="18"/>
          <w:rtl/>
        </w:rPr>
        <w:t xml:space="preserve"> מותר </w:t>
      </w:r>
      <w:proofErr w:type="spellStart"/>
      <w:r w:rsidR="008A6C1B" w:rsidRPr="008A6C1B">
        <w:rPr>
          <w:rFonts w:hint="cs"/>
          <w:sz w:val="18"/>
          <w:szCs w:val="18"/>
          <w:rtl/>
        </w:rPr>
        <w:t>לכ"ע</w:t>
      </w:r>
      <w:proofErr w:type="spellEnd"/>
      <w:r w:rsidR="008A6C1B" w:rsidRPr="008A6C1B">
        <w:rPr>
          <w:rFonts w:hint="cs"/>
          <w:sz w:val="18"/>
          <w:szCs w:val="18"/>
          <w:rtl/>
        </w:rPr>
        <w:t xml:space="preserve"> כיון שכלה האיסור</w:t>
      </w:r>
      <w:r w:rsidRPr="008A6C1B">
        <w:rPr>
          <w:rFonts w:hint="cs"/>
          <w:sz w:val="18"/>
          <w:szCs w:val="18"/>
          <w:rtl/>
        </w:rPr>
        <w:t>.</w:t>
      </w:r>
    </w:p>
    <w:p w:rsidR="00825C2C" w:rsidRPr="008A6C1B" w:rsidRDefault="00825C2C" w:rsidP="00825C2C">
      <w:pPr>
        <w:rPr>
          <w:sz w:val="18"/>
          <w:szCs w:val="18"/>
          <w:rtl/>
        </w:rPr>
      </w:pPr>
      <w:r w:rsidRPr="008A6C1B">
        <w:rPr>
          <w:rFonts w:hint="cs"/>
          <w:sz w:val="18"/>
          <w:szCs w:val="18"/>
          <w:rtl/>
        </w:rPr>
        <w:t xml:space="preserve">ד' </w:t>
      </w:r>
      <w:r w:rsidRPr="008A6C1B">
        <w:rPr>
          <w:sz w:val="18"/>
          <w:szCs w:val="18"/>
          <w:rtl/>
        </w:rPr>
        <w:t>–</w:t>
      </w:r>
      <w:r w:rsidRPr="008A6C1B">
        <w:rPr>
          <w:rFonts w:hint="cs"/>
          <w:sz w:val="18"/>
          <w:szCs w:val="18"/>
          <w:rtl/>
        </w:rPr>
        <w:t xml:space="preserve"> </w:t>
      </w:r>
      <w:r w:rsidRPr="008A6C1B">
        <w:rPr>
          <w:rFonts w:hint="cs"/>
          <w:b/>
          <w:bCs/>
          <w:sz w:val="18"/>
          <w:szCs w:val="18"/>
          <w:rtl/>
        </w:rPr>
        <w:t>פת שספגה ריח של יין</w:t>
      </w:r>
      <w:r w:rsidR="008A6C1B" w:rsidRPr="008A6C1B">
        <w:rPr>
          <w:rFonts w:hint="cs"/>
          <w:sz w:val="18"/>
          <w:szCs w:val="18"/>
          <w:rtl/>
        </w:rPr>
        <w:t xml:space="preserve"> </w:t>
      </w:r>
      <w:r w:rsidR="008A6C1B" w:rsidRPr="008A6C1B">
        <w:rPr>
          <w:sz w:val="18"/>
          <w:szCs w:val="18"/>
          <w:rtl/>
        </w:rPr>
        <w:t>–</w:t>
      </w:r>
      <w:r w:rsidR="008A6C1B" w:rsidRPr="008A6C1B">
        <w:rPr>
          <w:rFonts w:hint="cs"/>
          <w:sz w:val="18"/>
          <w:szCs w:val="18"/>
          <w:rtl/>
        </w:rPr>
        <w:t xml:space="preserve"> </w:t>
      </w:r>
      <w:r w:rsidRPr="008A6C1B">
        <w:rPr>
          <w:rFonts w:hint="cs"/>
          <w:sz w:val="18"/>
          <w:szCs w:val="18"/>
          <w:rtl/>
        </w:rPr>
        <w:t xml:space="preserve">ועולה </w:t>
      </w:r>
      <w:proofErr w:type="spellStart"/>
      <w:r w:rsidRPr="008A6C1B">
        <w:rPr>
          <w:rFonts w:hint="cs"/>
          <w:sz w:val="18"/>
          <w:szCs w:val="18"/>
          <w:rtl/>
        </w:rPr>
        <w:t>מהסוגיא</w:t>
      </w:r>
      <w:proofErr w:type="spellEnd"/>
      <w:r w:rsidRPr="008A6C1B">
        <w:rPr>
          <w:rFonts w:hint="cs"/>
          <w:sz w:val="18"/>
          <w:szCs w:val="18"/>
          <w:rtl/>
        </w:rPr>
        <w:t xml:space="preserve"> שבפת של חיטים</w:t>
      </w:r>
      <w:r w:rsidRPr="008A6C1B">
        <w:rPr>
          <w:rStyle w:val="a5"/>
          <w:sz w:val="18"/>
          <w:szCs w:val="18"/>
          <w:rtl/>
        </w:rPr>
        <w:footnoteReference w:id="11"/>
      </w:r>
      <w:r w:rsidRPr="008A6C1B">
        <w:rPr>
          <w:rFonts w:hint="cs"/>
          <w:sz w:val="18"/>
          <w:szCs w:val="18"/>
          <w:rtl/>
        </w:rPr>
        <w:t xml:space="preserve">, אם </w:t>
      </w:r>
      <w:proofErr w:type="spellStart"/>
      <w:r w:rsidRPr="008A6C1B">
        <w:rPr>
          <w:rFonts w:hint="cs"/>
          <w:sz w:val="18"/>
          <w:szCs w:val="18"/>
          <w:rtl/>
        </w:rPr>
        <w:t>ריחא</w:t>
      </w:r>
      <w:proofErr w:type="spellEnd"/>
      <w:r w:rsidRPr="008A6C1B">
        <w:rPr>
          <w:rFonts w:hint="cs"/>
          <w:sz w:val="18"/>
          <w:szCs w:val="18"/>
          <w:rtl/>
        </w:rPr>
        <w:t xml:space="preserve"> לאו מילתא, אין שום צד לאסור, והיא שיטת ר"מ. ואם </w:t>
      </w:r>
      <w:proofErr w:type="spellStart"/>
      <w:r w:rsidRPr="008A6C1B">
        <w:rPr>
          <w:rFonts w:hint="cs"/>
          <w:sz w:val="18"/>
          <w:szCs w:val="18"/>
          <w:rtl/>
        </w:rPr>
        <w:t>ריחא</w:t>
      </w:r>
      <w:proofErr w:type="spellEnd"/>
      <w:r w:rsidRPr="008A6C1B">
        <w:rPr>
          <w:rFonts w:hint="cs"/>
          <w:sz w:val="18"/>
          <w:szCs w:val="18"/>
          <w:rtl/>
        </w:rPr>
        <w:t xml:space="preserve"> מילתא </w:t>
      </w:r>
      <w:r w:rsidRPr="008A6C1B">
        <w:rPr>
          <w:sz w:val="18"/>
          <w:szCs w:val="18"/>
          <w:rtl/>
        </w:rPr>
        <w:t>–</w:t>
      </w:r>
      <w:r w:rsidRPr="008A6C1B">
        <w:rPr>
          <w:rFonts w:hint="cs"/>
          <w:sz w:val="18"/>
          <w:szCs w:val="18"/>
          <w:rtl/>
        </w:rPr>
        <w:t xml:space="preserve"> אזי בפת חמה וחבית פתוחה </w:t>
      </w:r>
      <w:r w:rsidRPr="008A6C1B">
        <w:rPr>
          <w:sz w:val="18"/>
          <w:szCs w:val="18"/>
          <w:rtl/>
        </w:rPr>
        <w:t>–</w:t>
      </w:r>
      <w:r w:rsidRPr="008A6C1B">
        <w:rPr>
          <w:rFonts w:hint="cs"/>
          <w:sz w:val="18"/>
          <w:szCs w:val="18"/>
          <w:rtl/>
        </w:rPr>
        <w:t xml:space="preserve"> אסור </w:t>
      </w:r>
      <w:proofErr w:type="spellStart"/>
      <w:r w:rsidRPr="008A6C1B">
        <w:rPr>
          <w:rFonts w:hint="cs"/>
          <w:sz w:val="18"/>
          <w:szCs w:val="18"/>
          <w:rtl/>
        </w:rPr>
        <w:t>לכ"ע</w:t>
      </w:r>
      <w:proofErr w:type="spellEnd"/>
      <w:r w:rsidRPr="008A6C1B">
        <w:rPr>
          <w:rFonts w:hint="cs"/>
          <w:sz w:val="18"/>
          <w:szCs w:val="18"/>
          <w:rtl/>
        </w:rPr>
        <w:t xml:space="preserve">. וכאשר חסר אחד מהתנאים </w:t>
      </w:r>
      <w:r w:rsidRPr="008A6C1B">
        <w:rPr>
          <w:sz w:val="18"/>
          <w:szCs w:val="18"/>
          <w:rtl/>
        </w:rPr>
        <w:t>–</w:t>
      </w:r>
      <w:r w:rsidR="008A6C1B" w:rsidRPr="008A6C1B">
        <w:rPr>
          <w:rFonts w:hint="cs"/>
          <w:sz w:val="18"/>
          <w:szCs w:val="18"/>
          <w:rtl/>
        </w:rPr>
        <w:t xml:space="preserve"> </w:t>
      </w:r>
      <w:proofErr w:type="spellStart"/>
      <w:r w:rsidR="008A6C1B" w:rsidRPr="008A6C1B">
        <w:rPr>
          <w:rFonts w:hint="cs"/>
          <w:sz w:val="18"/>
          <w:szCs w:val="18"/>
          <w:rtl/>
        </w:rPr>
        <w:t>הריהי</w:t>
      </w:r>
      <w:proofErr w:type="spellEnd"/>
      <w:r w:rsidR="008A6C1B" w:rsidRPr="008A6C1B">
        <w:rPr>
          <w:rFonts w:hint="cs"/>
          <w:sz w:val="18"/>
          <w:szCs w:val="18"/>
          <w:rtl/>
        </w:rPr>
        <w:t xml:space="preserve"> מחלוקת תנאים</w:t>
      </w:r>
      <w:r w:rsidRPr="008A6C1B">
        <w:rPr>
          <w:rFonts w:hint="cs"/>
          <w:sz w:val="18"/>
          <w:szCs w:val="18"/>
          <w:rtl/>
        </w:rPr>
        <w:t>.</w:t>
      </w:r>
    </w:p>
    <w:p w:rsidR="00976BE3" w:rsidRPr="008A6C1B" w:rsidRDefault="00825C2C" w:rsidP="00D854B6">
      <w:pPr>
        <w:rPr>
          <w:sz w:val="18"/>
          <w:szCs w:val="18"/>
          <w:rtl/>
        </w:rPr>
      </w:pPr>
      <w:r w:rsidRPr="008A6C1B">
        <w:rPr>
          <w:rFonts w:hint="cs"/>
          <w:sz w:val="18"/>
          <w:szCs w:val="18"/>
          <w:rtl/>
        </w:rPr>
        <w:t xml:space="preserve">ה' </w:t>
      </w:r>
      <w:r w:rsidRPr="008A6C1B">
        <w:rPr>
          <w:sz w:val="18"/>
          <w:szCs w:val="18"/>
          <w:rtl/>
        </w:rPr>
        <w:t>–</w:t>
      </w:r>
      <w:r w:rsidRPr="008A6C1B">
        <w:rPr>
          <w:rFonts w:hint="cs"/>
          <w:sz w:val="18"/>
          <w:szCs w:val="18"/>
          <w:rtl/>
        </w:rPr>
        <w:t xml:space="preserve"> </w:t>
      </w:r>
      <w:r w:rsidRPr="008A6C1B">
        <w:rPr>
          <w:rFonts w:hint="cs"/>
          <w:b/>
          <w:bCs/>
          <w:sz w:val="18"/>
          <w:szCs w:val="18"/>
          <w:rtl/>
        </w:rPr>
        <w:t xml:space="preserve">פת שנצלתה עם בשר </w:t>
      </w:r>
      <w:r w:rsidRPr="008A6C1B">
        <w:rPr>
          <w:b/>
          <w:bCs/>
          <w:sz w:val="18"/>
          <w:szCs w:val="18"/>
          <w:rtl/>
        </w:rPr>
        <w:t>–</w:t>
      </w:r>
      <w:r w:rsidRPr="008A6C1B">
        <w:rPr>
          <w:rFonts w:hint="cs"/>
          <w:b/>
          <w:bCs/>
          <w:sz w:val="18"/>
          <w:szCs w:val="18"/>
          <w:rtl/>
        </w:rPr>
        <w:t xml:space="preserve"> אין לאכלה עם חלב</w:t>
      </w:r>
      <w:r w:rsidR="0026673A" w:rsidRPr="008A6C1B">
        <w:rPr>
          <w:rFonts w:hint="cs"/>
          <w:sz w:val="18"/>
          <w:szCs w:val="18"/>
          <w:rtl/>
        </w:rPr>
        <w:t xml:space="preserve"> (ולא התפרש בגמ' אם שייך למחלוקת).</w:t>
      </w:r>
    </w:p>
    <w:p w:rsidR="00976BE3" w:rsidRPr="008A6C1B" w:rsidRDefault="00976BE3" w:rsidP="008A6C1B">
      <w:pPr>
        <w:jc w:val="center"/>
        <w:rPr>
          <w:b/>
          <w:bCs/>
          <w:sz w:val="18"/>
          <w:szCs w:val="18"/>
          <w:rtl/>
        </w:rPr>
      </w:pPr>
      <w:r w:rsidRPr="008A6C1B">
        <w:rPr>
          <w:rFonts w:hint="cs"/>
          <w:b/>
          <w:bCs/>
          <w:sz w:val="18"/>
          <w:szCs w:val="18"/>
          <w:rtl/>
        </w:rPr>
        <w:t xml:space="preserve">הלכה </w:t>
      </w:r>
      <w:r w:rsidRPr="008A6C1B">
        <w:rPr>
          <w:b/>
          <w:bCs/>
          <w:sz w:val="18"/>
          <w:szCs w:val="18"/>
          <w:rtl/>
        </w:rPr>
        <w:t>–</w:t>
      </w:r>
      <w:r w:rsidRPr="008A6C1B">
        <w:rPr>
          <w:rFonts w:hint="cs"/>
          <w:b/>
          <w:bCs/>
          <w:sz w:val="18"/>
          <w:szCs w:val="18"/>
          <w:rtl/>
        </w:rPr>
        <w:t xml:space="preserve"> מחלוקת הראשונים</w:t>
      </w:r>
    </w:p>
    <w:p w:rsidR="00976BE3" w:rsidRPr="008A6C1B" w:rsidRDefault="00976BE3" w:rsidP="00A360DE">
      <w:pPr>
        <w:rPr>
          <w:sz w:val="18"/>
          <w:szCs w:val="18"/>
          <w:rtl/>
        </w:rPr>
      </w:pPr>
      <w:r w:rsidRPr="008A6C1B">
        <w:rPr>
          <w:rFonts w:hint="cs"/>
          <w:sz w:val="18"/>
          <w:szCs w:val="18"/>
          <w:rtl/>
        </w:rPr>
        <w:t xml:space="preserve">א, שיטת ר"ת </w:t>
      </w:r>
      <w:r w:rsidRPr="008A6C1B">
        <w:rPr>
          <w:sz w:val="18"/>
          <w:szCs w:val="18"/>
          <w:rtl/>
        </w:rPr>
        <w:t>–</w:t>
      </w:r>
      <w:r w:rsidRPr="008A6C1B">
        <w:rPr>
          <w:rFonts w:hint="cs"/>
          <w:sz w:val="18"/>
          <w:szCs w:val="18"/>
          <w:rtl/>
        </w:rPr>
        <w:t xml:space="preserve"> </w:t>
      </w:r>
      <w:r w:rsidR="00A360DE">
        <w:rPr>
          <w:rFonts w:hint="cs"/>
          <w:sz w:val="18"/>
          <w:szCs w:val="18"/>
          <w:rtl/>
        </w:rPr>
        <w:t xml:space="preserve">  </w:t>
      </w:r>
      <w:r w:rsidR="00C956DD">
        <w:rPr>
          <w:rFonts w:hint="cs"/>
          <w:sz w:val="18"/>
          <w:szCs w:val="18"/>
          <w:rtl/>
        </w:rPr>
        <w:t>שחוטה שנצלתה עם נבילה</w:t>
      </w:r>
      <w:r w:rsidRPr="008A6C1B">
        <w:rPr>
          <w:rFonts w:hint="cs"/>
          <w:sz w:val="18"/>
          <w:szCs w:val="18"/>
          <w:rtl/>
        </w:rPr>
        <w:t xml:space="preserve"> אסורה</w:t>
      </w:r>
      <w:r w:rsidRPr="008A6C1B">
        <w:rPr>
          <w:rStyle w:val="a5"/>
          <w:sz w:val="18"/>
          <w:szCs w:val="18"/>
          <w:rtl/>
        </w:rPr>
        <w:footnoteReference w:id="12"/>
      </w:r>
      <w:r w:rsidRPr="008A6C1B">
        <w:rPr>
          <w:rFonts w:hint="cs"/>
          <w:sz w:val="18"/>
          <w:szCs w:val="18"/>
          <w:rtl/>
        </w:rPr>
        <w:t xml:space="preserve"> </w:t>
      </w:r>
      <w:r w:rsidRPr="008A6C1B">
        <w:rPr>
          <w:sz w:val="18"/>
          <w:szCs w:val="18"/>
          <w:rtl/>
        </w:rPr>
        <w:t>–</w:t>
      </w:r>
      <w:r w:rsidRPr="008A6C1B">
        <w:rPr>
          <w:rFonts w:hint="cs"/>
          <w:sz w:val="18"/>
          <w:szCs w:val="18"/>
          <w:rtl/>
        </w:rPr>
        <w:t xml:space="preserve"> </w:t>
      </w:r>
      <w:proofErr w:type="spellStart"/>
      <w:r w:rsidRPr="008A6C1B">
        <w:rPr>
          <w:rFonts w:hint="cs"/>
          <w:sz w:val="18"/>
          <w:szCs w:val="18"/>
          <w:rtl/>
        </w:rPr>
        <w:t>דריחא</w:t>
      </w:r>
      <w:proofErr w:type="spellEnd"/>
      <w:r w:rsidRPr="008A6C1B">
        <w:rPr>
          <w:rFonts w:hint="cs"/>
          <w:sz w:val="18"/>
          <w:szCs w:val="18"/>
          <w:rtl/>
        </w:rPr>
        <w:t xml:space="preserve"> מילתא. </w:t>
      </w:r>
      <w:proofErr w:type="spellStart"/>
      <w:r w:rsidRPr="008A6C1B">
        <w:rPr>
          <w:rFonts w:hint="cs"/>
          <w:sz w:val="18"/>
          <w:szCs w:val="18"/>
          <w:rtl/>
        </w:rPr>
        <w:t>ואפ"ה</w:t>
      </w:r>
      <w:proofErr w:type="spellEnd"/>
      <w:r w:rsidRPr="008A6C1B">
        <w:rPr>
          <w:rFonts w:hint="cs"/>
          <w:sz w:val="18"/>
          <w:szCs w:val="18"/>
          <w:rtl/>
        </w:rPr>
        <w:t xml:space="preserve"> להריח בת </w:t>
      </w:r>
      <w:proofErr w:type="spellStart"/>
      <w:r w:rsidRPr="008A6C1B">
        <w:rPr>
          <w:rFonts w:hint="cs"/>
          <w:sz w:val="18"/>
          <w:szCs w:val="18"/>
          <w:rtl/>
        </w:rPr>
        <w:t>תיהא</w:t>
      </w:r>
      <w:proofErr w:type="spellEnd"/>
      <w:r w:rsidRPr="008A6C1B">
        <w:rPr>
          <w:rFonts w:hint="cs"/>
          <w:sz w:val="18"/>
          <w:szCs w:val="18"/>
          <w:rtl/>
        </w:rPr>
        <w:t xml:space="preserve"> מותר (</w:t>
      </w:r>
      <w:proofErr w:type="spellStart"/>
      <w:r w:rsidRPr="008A6C1B">
        <w:rPr>
          <w:rFonts w:hint="cs"/>
          <w:sz w:val="18"/>
          <w:szCs w:val="18"/>
          <w:rtl/>
        </w:rPr>
        <w:t>כרבא</w:t>
      </w:r>
      <w:proofErr w:type="spellEnd"/>
      <w:r w:rsidRPr="008A6C1B">
        <w:rPr>
          <w:rFonts w:hint="cs"/>
          <w:sz w:val="18"/>
          <w:szCs w:val="18"/>
          <w:rtl/>
        </w:rPr>
        <w:t>), או משום שמזיק, או  משום שלא "מפטם".</w:t>
      </w:r>
    </w:p>
    <w:p w:rsidR="00D854B6" w:rsidRPr="00D854B6" w:rsidRDefault="00976BE3" w:rsidP="00A360DE">
      <w:pPr>
        <w:rPr>
          <w:sz w:val="18"/>
          <w:szCs w:val="18"/>
          <w:rtl/>
        </w:rPr>
      </w:pPr>
      <w:r w:rsidRPr="008A6C1B">
        <w:rPr>
          <w:rFonts w:hint="cs"/>
          <w:sz w:val="18"/>
          <w:szCs w:val="18"/>
          <w:rtl/>
        </w:rPr>
        <w:t xml:space="preserve">ב, שיטת </w:t>
      </w:r>
      <w:proofErr w:type="spellStart"/>
      <w:r w:rsidRPr="008A6C1B">
        <w:rPr>
          <w:rFonts w:hint="cs"/>
          <w:sz w:val="18"/>
          <w:szCs w:val="18"/>
          <w:rtl/>
        </w:rPr>
        <w:t>רי"ף</w:t>
      </w:r>
      <w:proofErr w:type="spellEnd"/>
      <w:r w:rsidRPr="008A6C1B">
        <w:rPr>
          <w:rFonts w:hint="cs"/>
          <w:sz w:val="18"/>
          <w:szCs w:val="18"/>
          <w:rtl/>
        </w:rPr>
        <w:t xml:space="preserve"> ורמב"ם </w:t>
      </w:r>
      <w:r w:rsidRPr="008A6C1B">
        <w:rPr>
          <w:sz w:val="18"/>
          <w:szCs w:val="18"/>
          <w:rtl/>
        </w:rPr>
        <w:t>–</w:t>
      </w:r>
      <w:r w:rsidR="00A360DE">
        <w:rPr>
          <w:rFonts w:hint="cs"/>
          <w:sz w:val="18"/>
          <w:szCs w:val="18"/>
          <w:rtl/>
        </w:rPr>
        <w:t xml:space="preserve">     </w:t>
      </w:r>
      <w:r w:rsidRPr="008A6C1B">
        <w:rPr>
          <w:rFonts w:hint="cs"/>
          <w:sz w:val="18"/>
          <w:szCs w:val="18"/>
          <w:rtl/>
        </w:rPr>
        <w:t xml:space="preserve">שחוטה שנצלתה עם נבילה מותרת (כלוי), </w:t>
      </w:r>
      <w:proofErr w:type="spellStart"/>
      <w:r w:rsidRPr="008A6C1B">
        <w:rPr>
          <w:rFonts w:hint="cs"/>
          <w:sz w:val="18"/>
          <w:szCs w:val="18"/>
          <w:rtl/>
        </w:rPr>
        <w:t>דריחא</w:t>
      </w:r>
      <w:proofErr w:type="spellEnd"/>
      <w:r w:rsidRPr="008A6C1B">
        <w:rPr>
          <w:rFonts w:hint="cs"/>
          <w:sz w:val="18"/>
          <w:szCs w:val="18"/>
          <w:rtl/>
        </w:rPr>
        <w:t xml:space="preserve"> לאו מילתא. אבל לכתחילה </w:t>
      </w:r>
      <w:r w:rsidRPr="008A6C1B">
        <w:rPr>
          <w:sz w:val="18"/>
          <w:szCs w:val="18"/>
          <w:rtl/>
        </w:rPr>
        <w:t>–</w:t>
      </w:r>
      <w:r w:rsidRPr="008A6C1B">
        <w:rPr>
          <w:rFonts w:hint="cs"/>
          <w:sz w:val="18"/>
          <w:szCs w:val="18"/>
          <w:rtl/>
        </w:rPr>
        <w:t xml:space="preserve"> אין לצלות</w:t>
      </w:r>
      <w:r w:rsidRPr="008A6C1B">
        <w:rPr>
          <w:rStyle w:val="a5"/>
          <w:sz w:val="18"/>
          <w:szCs w:val="18"/>
          <w:rtl/>
        </w:rPr>
        <w:footnoteReference w:id="13"/>
      </w:r>
      <w:r w:rsidR="008A6C1B" w:rsidRPr="008A6C1B">
        <w:rPr>
          <w:rFonts w:hint="cs"/>
          <w:sz w:val="18"/>
          <w:szCs w:val="18"/>
          <w:rtl/>
        </w:rPr>
        <w:t xml:space="preserve">. וכיון </w:t>
      </w:r>
      <w:proofErr w:type="spellStart"/>
      <w:r w:rsidR="008A6C1B" w:rsidRPr="008A6C1B">
        <w:rPr>
          <w:rFonts w:hint="cs"/>
          <w:sz w:val="18"/>
          <w:szCs w:val="18"/>
          <w:rtl/>
        </w:rPr>
        <w:t>שריחא</w:t>
      </w:r>
      <w:proofErr w:type="spellEnd"/>
      <w:r w:rsidR="008A6C1B" w:rsidRPr="008A6C1B">
        <w:rPr>
          <w:rFonts w:hint="cs"/>
          <w:sz w:val="18"/>
          <w:szCs w:val="18"/>
          <w:rtl/>
        </w:rPr>
        <w:t xml:space="preserve"> לאו מילתא, </w:t>
      </w:r>
      <w:r w:rsidRPr="008A6C1B">
        <w:rPr>
          <w:rFonts w:hint="cs"/>
          <w:sz w:val="18"/>
          <w:szCs w:val="18"/>
          <w:rtl/>
        </w:rPr>
        <w:t xml:space="preserve"> מותר</w:t>
      </w:r>
      <w:r w:rsidRPr="008A6C1B">
        <w:rPr>
          <w:rStyle w:val="a5"/>
          <w:sz w:val="18"/>
          <w:szCs w:val="18"/>
          <w:rtl/>
        </w:rPr>
        <w:footnoteReference w:id="14"/>
      </w:r>
      <w:r w:rsidRPr="008A6C1B">
        <w:rPr>
          <w:rFonts w:hint="cs"/>
          <w:sz w:val="18"/>
          <w:szCs w:val="18"/>
          <w:rtl/>
        </w:rPr>
        <w:t xml:space="preserve"> להריח בת </w:t>
      </w:r>
      <w:proofErr w:type="spellStart"/>
      <w:r w:rsidRPr="008A6C1B">
        <w:rPr>
          <w:rFonts w:hint="cs"/>
          <w:sz w:val="18"/>
          <w:szCs w:val="18"/>
          <w:rtl/>
        </w:rPr>
        <w:t>תיהא</w:t>
      </w:r>
      <w:proofErr w:type="spellEnd"/>
      <w:r w:rsidRPr="008A6C1B">
        <w:rPr>
          <w:rFonts w:hint="cs"/>
          <w:sz w:val="18"/>
          <w:szCs w:val="18"/>
          <w:rtl/>
        </w:rPr>
        <w:t xml:space="preserve"> (</w:t>
      </w:r>
      <w:proofErr w:type="spellStart"/>
      <w:r w:rsidRPr="008A6C1B">
        <w:rPr>
          <w:rFonts w:hint="cs"/>
          <w:sz w:val="18"/>
          <w:szCs w:val="18"/>
          <w:rtl/>
        </w:rPr>
        <w:t>כרבא</w:t>
      </w:r>
      <w:proofErr w:type="spellEnd"/>
      <w:r w:rsidRPr="008A6C1B">
        <w:rPr>
          <w:rFonts w:hint="cs"/>
          <w:sz w:val="18"/>
          <w:szCs w:val="18"/>
          <w:rtl/>
        </w:rPr>
        <w:t xml:space="preserve">). אמנם פת שנצלתה עם בשר, אסור לאכלה עם חלב. (ונשנו בזה כמה טעמים בראשונים: א, כיון שיכול לאכלה לבד, </w:t>
      </w:r>
      <w:proofErr w:type="spellStart"/>
      <w:r w:rsidRPr="008A6C1B">
        <w:rPr>
          <w:rFonts w:hint="cs"/>
          <w:sz w:val="18"/>
          <w:szCs w:val="18"/>
          <w:rtl/>
        </w:rPr>
        <w:t>הויא</w:t>
      </w:r>
      <w:proofErr w:type="spellEnd"/>
      <w:r w:rsidRPr="008A6C1B">
        <w:rPr>
          <w:rFonts w:hint="cs"/>
          <w:sz w:val="18"/>
          <w:szCs w:val="18"/>
          <w:rtl/>
        </w:rPr>
        <w:t xml:space="preserve"> כדבר שיש לו מתירים. ב, כיון שיכול לאכלה לבד, </w:t>
      </w:r>
      <w:proofErr w:type="spellStart"/>
      <w:r w:rsidRPr="008A6C1B">
        <w:rPr>
          <w:rFonts w:hint="cs"/>
          <w:sz w:val="18"/>
          <w:szCs w:val="18"/>
          <w:rtl/>
        </w:rPr>
        <w:t>הויא</w:t>
      </w:r>
      <w:proofErr w:type="spellEnd"/>
      <w:r w:rsidRPr="008A6C1B">
        <w:rPr>
          <w:rFonts w:hint="cs"/>
          <w:sz w:val="18"/>
          <w:szCs w:val="18"/>
          <w:rtl/>
        </w:rPr>
        <w:t xml:space="preserve"> </w:t>
      </w:r>
      <w:proofErr w:type="spellStart"/>
      <w:r w:rsidRPr="008A6C1B">
        <w:rPr>
          <w:rFonts w:hint="cs"/>
          <w:sz w:val="18"/>
          <w:szCs w:val="18"/>
          <w:rtl/>
        </w:rPr>
        <w:t>כלכתחילה</w:t>
      </w:r>
      <w:proofErr w:type="spellEnd"/>
      <w:r w:rsidRPr="008A6C1B">
        <w:rPr>
          <w:rFonts w:hint="cs"/>
          <w:sz w:val="18"/>
          <w:szCs w:val="18"/>
          <w:rtl/>
        </w:rPr>
        <w:t>. ג, כיון שבשר וחלב מותרים כל אחד בפני עצמו, צריך לעשות הרחקה טפי.)</w:t>
      </w:r>
    </w:p>
    <w:p w:rsidR="00976BE3" w:rsidRPr="008A6C1B" w:rsidRDefault="00976BE3" w:rsidP="008A6C1B">
      <w:pPr>
        <w:jc w:val="center"/>
        <w:rPr>
          <w:b/>
          <w:bCs/>
          <w:sz w:val="18"/>
          <w:szCs w:val="18"/>
          <w:rtl/>
        </w:rPr>
      </w:pPr>
      <w:r w:rsidRPr="008A6C1B">
        <w:rPr>
          <w:rFonts w:hint="cs"/>
          <w:b/>
          <w:bCs/>
          <w:sz w:val="18"/>
          <w:szCs w:val="18"/>
          <w:rtl/>
        </w:rPr>
        <w:t xml:space="preserve">הלכה </w:t>
      </w:r>
      <w:r w:rsidRPr="008A6C1B">
        <w:rPr>
          <w:b/>
          <w:bCs/>
          <w:sz w:val="18"/>
          <w:szCs w:val="18"/>
          <w:rtl/>
        </w:rPr>
        <w:t>–</w:t>
      </w:r>
      <w:r w:rsidRPr="008A6C1B">
        <w:rPr>
          <w:rFonts w:hint="cs"/>
          <w:b/>
          <w:bCs/>
          <w:sz w:val="18"/>
          <w:szCs w:val="18"/>
          <w:rtl/>
        </w:rPr>
        <w:t xml:space="preserve"> דעת </w:t>
      </w:r>
      <w:proofErr w:type="spellStart"/>
      <w:r w:rsidRPr="008A6C1B">
        <w:rPr>
          <w:rFonts w:hint="cs"/>
          <w:b/>
          <w:bCs/>
          <w:sz w:val="18"/>
          <w:szCs w:val="18"/>
          <w:rtl/>
        </w:rPr>
        <w:t>השו"ע</w:t>
      </w:r>
      <w:proofErr w:type="spellEnd"/>
      <w:r w:rsidRPr="008A6C1B">
        <w:rPr>
          <w:rFonts w:hint="cs"/>
          <w:b/>
          <w:bCs/>
          <w:sz w:val="18"/>
          <w:szCs w:val="18"/>
          <w:rtl/>
        </w:rPr>
        <w:t xml:space="preserve"> </w:t>
      </w:r>
      <w:proofErr w:type="spellStart"/>
      <w:r w:rsidRPr="008A6C1B">
        <w:rPr>
          <w:rFonts w:hint="cs"/>
          <w:b/>
          <w:bCs/>
          <w:sz w:val="18"/>
          <w:szCs w:val="18"/>
          <w:rtl/>
        </w:rPr>
        <w:t>והרמ"א</w:t>
      </w:r>
      <w:proofErr w:type="spellEnd"/>
    </w:p>
    <w:p w:rsidR="008A6C1B" w:rsidRPr="009547F0" w:rsidRDefault="00B230DE" w:rsidP="009547F0">
      <w:pPr>
        <w:jc w:val="both"/>
        <w:rPr>
          <w:sz w:val="18"/>
          <w:szCs w:val="18"/>
          <w:rtl/>
        </w:rPr>
      </w:pPr>
      <w:r w:rsidRPr="008A6C1B">
        <w:rPr>
          <w:rFonts w:hint="cs"/>
          <w:sz w:val="18"/>
          <w:szCs w:val="18"/>
          <w:rtl/>
        </w:rPr>
        <w:t xml:space="preserve">פסקו </w:t>
      </w:r>
      <w:proofErr w:type="spellStart"/>
      <w:r w:rsidRPr="008A6C1B">
        <w:rPr>
          <w:rFonts w:hint="cs"/>
          <w:sz w:val="18"/>
          <w:szCs w:val="18"/>
          <w:rtl/>
        </w:rPr>
        <w:t>כהרי"ף</w:t>
      </w:r>
      <w:proofErr w:type="spellEnd"/>
      <w:r w:rsidRPr="008A6C1B">
        <w:rPr>
          <w:rFonts w:hint="cs"/>
          <w:sz w:val="18"/>
          <w:szCs w:val="18"/>
          <w:rtl/>
        </w:rPr>
        <w:t xml:space="preserve"> והרמב"ם  שצליית </w:t>
      </w:r>
      <w:r w:rsidRPr="008A6C1B">
        <w:rPr>
          <w:rFonts w:hint="cs"/>
          <w:b/>
          <w:bCs/>
          <w:sz w:val="18"/>
          <w:szCs w:val="18"/>
          <w:rtl/>
        </w:rPr>
        <w:t xml:space="preserve">בשר שחוטה עם נבילה </w:t>
      </w:r>
      <w:r w:rsidRPr="008A6C1B">
        <w:rPr>
          <w:sz w:val="18"/>
          <w:szCs w:val="18"/>
          <w:rtl/>
        </w:rPr>
        <w:t>–</w:t>
      </w:r>
      <w:r w:rsidRPr="008A6C1B">
        <w:rPr>
          <w:rFonts w:hint="cs"/>
          <w:sz w:val="18"/>
          <w:szCs w:val="18"/>
          <w:rtl/>
        </w:rPr>
        <w:t xml:space="preserve"> </w:t>
      </w:r>
      <w:r w:rsidRPr="008A6C1B">
        <w:rPr>
          <w:rFonts w:hint="cs"/>
          <w:b/>
          <w:bCs/>
          <w:sz w:val="18"/>
          <w:szCs w:val="18"/>
          <w:rtl/>
        </w:rPr>
        <w:t xml:space="preserve">לכתחילה </w:t>
      </w:r>
      <w:r w:rsidRPr="008A6C1B">
        <w:rPr>
          <w:rFonts w:hint="cs"/>
          <w:sz w:val="18"/>
          <w:szCs w:val="18"/>
          <w:rtl/>
        </w:rPr>
        <w:t>אסור</w:t>
      </w:r>
      <w:r w:rsidR="000043AF" w:rsidRPr="008A6C1B">
        <w:rPr>
          <w:rFonts w:hint="cs"/>
          <w:sz w:val="18"/>
          <w:szCs w:val="18"/>
          <w:rtl/>
        </w:rPr>
        <w:t xml:space="preserve">, </w:t>
      </w:r>
      <w:r w:rsidR="000043AF" w:rsidRPr="008A6C1B">
        <w:rPr>
          <w:rFonts w:hint="cs"/>
          <w:b/>
          <w:bCs/>
          <w:sz w:val="18"/>
          <w:szCs w:val="18"/>
          <w:rtl/>
        </w:rPr>
        <w:t xml:space="preserve">ובדיעבד </w:t>
      </w:r>
      <w:r w:rsidR="000043AF" w:rsidRPr="008A6C1B">
        <w:rPr>
          <w:rFonts w:hint="cs"/>
          <w:sz w:val="18"/>
          <w:szCs w:val="18"/>
          <w:rtl/>
        </w:rPr>
        <w:t>מותר</w:t>
      </w:r>
      <w:r w:rsidR="006C16DC" w:rsidRPr="008A6C1B">
        <w:rPr>
          <w:rFonts w:hint="cs"/>
          <w:sz w:val="18"/>
          <w:szCs w:val="18"/>
          <w:rtl/>
        </w:rPr>
        <w:t>.</w:t>
      </w:r>
      <w:r w:rsidR="00976BE3" w:rsidRPr="008A6C1B">
        <w:rPr>
          <w:rFonts w:hint="cs"/>
          <w:sz w:val="18"/>
          <w:szCs w:val="18"/>
          <w:rtl/>
        </w:rPr>
        <w:t xml:space="preserve"> </w:t>
      </w:r>
      <w:r w:rsidR="00D854B6">
        <w:rPr>
          <w:rFonts w:hint="cs"/>
          <w:sz w:val="18"/>
          <w:szCs w:val="18"/>
          <w:rtl/>
        </w:rPr>
        <w:t xml:space="preserve">   </w:t>
      </w:r>
      <w:r w:rsidR="006C16DC" w:rsidRPr="008A6C1B">
        <w:rPr>
          <w:rFonts w:hint="cs"/>
          <w:b/>
          <w:bCs/>
          <w:sz w:val="18"/>
          <w:szCs w:val="18"/>
          <w:rtl/>
        </w:rPr>
        <w:t>ו</w:t>
      </w:r>
      <w:r w:rsidR="00976BE3" w:rsidRPr="008A6C1B">
        <w:rPr>
          <w:rFonts w:hint="cs"/>
          <w:b/>
          <w:bCs/>
          <w:sz w:val="18"/>
          <w:szCs w:val="18"/>
          <w:rtl/>
        </w:rPr>
        <w:t xml:space="preserve">פת שנצלתה עם בשר </w:t>
      </w:r>
      <w:r w:rsidR="006C16DC" w:rsidRPr="008A6C1B">
        <w:rPr>
          <w:rFonts w:hint="cs"/>
          <w:sz w:val="18"/>
          <w:szCs w:val="18"/>
          <w:rtl/>
        </w:rPr>
        <w:t xml:space="preserve">אסורה אף </w:t>
      </w:r>
      <w:r w:rsidR="006C16DC" w:rsidRPr="008A6C1B">
        <w:rPr>
          <w:rFonts w:hint="cs"/>
          <w:b/>
          <w:bCs/>
          <w:sz w:val="18"/>
          <w:szCs w:val="18"/>
          <w:rtl/>
        </w:rPr>
        <w:t>בדיעבד</w:t>
      </w:r>
      <w:r w:rsidR="006C16DC" w:rsidRPr="008A6C1B">
        <w:rPr>
          <w:rFonts w:hint="cs"/>
          <w:sz w:val="18"/>
          <w:szCs w:val="18"/>
          <w:rtl/>
        </w:rPr>
        <w:t xml:space="preserve"> </w:t>
      </w:r>
      <w:r w:rsidR="00976BE3" w:rsidRPr="008A6C1B">
        <w:rPr>
          <w:rFonts w:hint="cs"/>
          <w:sz w:val="18"/>
          <w:szCs w:val="18"/>
          <w:rtl/>
        </w:rPr>
        <w:t xml:space="preserve">משום </w:t>
      </w:r>
      <w:proofErr w:type="spellStart"/>
      <w:r w:rsidR="00976BE3" w:rsidRPr="008A6C1B">
        <w:rPr>
          <w:rFonts w:hint="cs"/>
          <w:sz w:val="18"/>
          <w:szCs w:val="18"/>
          <w:rtl/>
        </w:rPr>
        <w:t>דמוגדר</w:t>
      </w:r>
      <w:proofErr w:type="spellEnd"/>
      <w:r w:rsidR="00976BE3" w:rsidRPr="008A6C1B">
        <w:rPr>
          <w:rFonts w:hint="cs"/>
          <w:sz w:val="18"/>
          <w:szCs w:val="18"/>
          <w:rtl/>
        </w:rPr>
        <w:t xml:space="preserve"> לכתחילה</w:t>
      </w:r>
      <w:r w:rsidR="00976BE3" w:rsidRPr="008A6C1B">
        <w:rPr>
          <w:rStyle w:val="a5"/>
          <w:sz w:val="18"/>
          <w:szCs w:val="18"/>
          <w:rtl/>
        </w:rPr>
        <w:footnoteReference w:id="15"/>
      </w:r>
      <w:r w:rsidR="00976BE3" w:rsidRPr="008A6C1B">
        <w:rPr>
          <w:rFonts w:hint="cs"/>
          <w:sz w:val="18"/>
          <w:szCs w:val="18"/>
          <w:rtl/>
        </w:rPr>
        <w:t>.</w:t>
      </w:r>
      <w:r w:rsidR="003D0FF0">
        <w:rPr>
          <w:rFonts w:hint="cs"/>
          <w:sz w:val="18"/>
          <w:szCs w:val="18"/>
          <w:rtl/>
        </w:rPr>
        <w:t xml:space="preserve"> </w:t>
      </w:r>
      <w:r w:rsidR="00DA7E4B" w:rsidRPr="008A6C1B">
        <w:rPr>
          <w:rFonts w:hint="cs"/>
          <w:sz w:val="18"/>
          <w:szCs w:val="18"/>
          <w:rtl/>
        </w:rPr>
        <w:t xml:space="preserve">אמנם לגבי </w:t>
      </w:r>
      <w:r w:rsidR="00DA7E4B" w:rsidRPr="008A6C1B">
        <w:rPr>
          <w:rFonts w:hint="cs"/>
          <w:b/>
          <w:bCs/>
          <w:sz w:val="18"/>
          <w:szCs w:val="18"/>
          <w:rtl/>
        </w:rPr>
        <w:t xml:space="preserve">פת חמה על גבי חבית יין פתוחה </w:t>
      </w:r>
      <w:r w:rsidR="00DA7E4B" w:rsidRPr="008A6C1B">
        <w:rPr>
          <w:sz w:val="18"/>
          <w:szCs w:val="18"/>
          <w:rtl/>
        </w:rPr>
        <w:t>–</w:t>
      </w:r>
      <w:r w:rsidR="00DA7E4B" w:rsidRPr="008A6C1B">
        <w:rPr>
          <w:rFonts w:hint="cs"/>
          <w:sz w:val="18"/>
          <w:szCs w:val="18"/>
          <w:rtl/>
        </w:rPr>
        <w:t xml:space="preserve"> </w:t>
      </w:r>
      <w:proofErr w:type="spellStart"/>
      <w:r w:rsidR="00DA7E4B" w:rsidRPr="008A6C1B">
        <w:rPr>
          <w:rFonts w:hint="cs"/>
          <w:sz w:val="18"/>
          <w:szCs w:val="18"/>
          <w:rtl/>
        </w:rPr>
        <w:t>פסקינן</w:t>
      </w:r>
      <w:proofErr w:type="spellEnd"/>
      <w:r w:rsidR="00DA7E4B" w:rsidRPr="008A6C1B">
        <w:rPr>
          <w:rFonts w:hint="cs"/>
          <w:sz w:val="18"/>
          <w:szCs w:val="18"/>
          <w:rtl/>
        </w:rPr>
        <w:t xml:space="preserve"> ל</w:t>
      </w:r>
      <w:r w:rsidR="00DA7E4B" w:rsidRPr="008A6C1B">
        <w:rPr>
          <w:rFonts w:hint="cs"/>
          <w:b/>
          <w:bCs/>
          <w:sz w:val="18"/>
          <w:szCs w:val="18"/>
          <w:rtl/>
        </w:rPr>
        <w:t>איסור</w:t>
      </w:r>
      <w:r w:rsidR="00DA7E4B" w:rsidRPr="008A6C1B">
        <w:rPr>
          <w:rStyle w:val="a5"/>
          <w:sz w:val="18"/>
          <w:szCs w:val="18"/>
          <w:rtl/>
        </w:rPr>
        <w:footnoteReference w:id="16"/>
      </w:r>
      <w:r w:rsidR="009547F0">
        <w:rPr>
          <w:rFonts w:hint="cs"/>
          <w:b/>
          <w:bCs/>
          <w:sz w:val="18"/>
          <w:szCs w:val="18"/>
          <w:rtl/>
        </w:rPr>
        <w:t>.</w:t>
      </w:r>
    </w:p>
    <w:p w:rsidR="00CA45BA" w:rsidRPr="008A6C1B" w:rsidRDefault="00CA45BA" w:rsidP="00D854B6">
      <w:pPr>
        <w:jc w:val="center"/>
        <w:rPr>
          <w:b/>
          <w:bCs/>
          <w:sz w:val="18"/>
          <w:szCs w:val="18"/>
          <w:rtl/>
        </w:rPr>
      </w:pPr>
      <w:proofErr w:type="spellStart"/>
      <w:r w:rsidRPr="008A6C1B">
        <w:rPr>
          <w:rFonts w:hint="cs"/>
          <w:b/>
          <w:bCs/>
          <w:sz w:val="18"/>
          <w:szCs w:val="18"/>
          <w:rtl/>
        </w:rPr>
        <w:lastRenderedPageBreak/>
        <w:t>ריחא</w:t>
      </w:r>
      <w:proofErr w:type="spellEnd"/>
      <w:r w:rsidRPr="008A6C1B">
        <w:rPr>
          <w:rFonts w:hint="cs"/>
          <w:b/>
          <w:bCs/>
          <w:sz w:val="18"/>
          <w:szCs w:val="18"/>
          <w:rtl/>
        </w:rPr>
        <w:t xml:space="preserve"> מילתא </w:t>
      </w:r>
      <w:r w:rsidRPr="008A6C1B">
        <w:rPr>
          <w:b/>
          <w:bCs/>
          <w:sz w:val="18"/>
          <w:szCs w:val="18"/>
          <w:rtl/>
        </w:rPr>
        <w:t>–</w:t>
      </w:r>
      <w:r w:rsidRPr="008A6C1B">
        <w:rPr>
          <w:rFonts w:hint="cs"/>
          <w:b/>
          <w:bCs/>
          <w:sz w:val="18"/>
          <w:szCs w:val="18"/>
          <w:rtl/>
        </w:rPr>
        <w:t xml:space="preserve"> דאורייתא או דרבנן</w:t>
      </w:r>
    </w:p>
    <w:p w:rsidR="007051A7" w:rsidRPr="00D854B6" w:rsidRDefault="00CA45BA" w:rsidP="00D854B6">
      <w:pPr>
        <w:rPr>
          <w:sz w:val="18"/>
          <w:szCs w:val="18"/>
          <w:rtl/>
        </w:rPr>
      </w:pPr>
      <w:proofErr w:type="spellStart"/>
      <w:r w:rsidRPr="008A6C1B">
        <w:rPr>
          <w:rFonts w:hint="cs"/>
          <w:sz w:val="18"/>
          <w:szCs w:val="18"/>
          <w:rtl/>
        </w:rPr>
        <w:t>פמ"ג</w:t>
      </w:r>
      <w:proofErr w:type="spellEnd"/>
      <w:r w:rsidRPr="008A6C1B">
        <w:rPr>
          <w:rFonts w:hint="cs"/>
          <w:sz w:val="18"/>
          <w:szCs w:val="18"/>
          <w:rtl/>
        </w:rPr>
        <w:t xml:space="preserve"> </w:t>
      </w:r>
      <w:r w:rsidR="002B04C9" w:rsidRPr="008A6C1B">
        <w:rPr>
          <w:rFonts w:hint="cs"/>
          <w:sz w:val="18"/>
          <w:szCs w:val="18"/>
          <w:rtl/>
        </w:rPr>
        <w:t xml:space="preserve"> ש"ד </w:t>
      </w:r>
      <w:proofErr w:type="spellStart"/>
      <w:r w:rsidR="002B04C9" w:rsidRPr="008A6C1B">
        <w:rPr>
          <w:rFonts w:hint="cs"/>
          <w:sz w:val="18"/>
          <w:szCs w:val="18"/>
          <w:rtl/>
        </w:rPr>
        <w:t>סקי"ג</w:t>
      </w:r>
      <w:proofErr w:type="spellEnd"/>
      <w:r w:rsidR="002B04C9" w:rsidRPr="008A6C1B">
        <w:rPr>
          <w:rFonts w:hint="cs"/>
          <w:sz w:val="18"/>
          <w:szCs w:val="18"/>
          <w:rtl/>
        </w:rPr>
        <w:t xml:space="preserve"> ד"ה "כתב </w:t>
      </w:r>
      <w:proofErr w:type="spellStart"/>
      <w:r w:rsidR="002B04C9" w:rsidRPr="008A6C1B">
        <w:rPr>
          <w:rFonts w:hint="cs"/>
          <w:sz w:val="18"/>
          <w:szCs w:val="18"/>
          <w:rtl/>
        </w:rPr>
        <w:t>הכר"ו</w:t>
      </w:r>
      <w:proofErr w:type="spellEnd"/>
      <w:r w:rsidR="002B04C9" w:rsidRPr="008A6C1B">
        <w:rPr>
          <w:rFonts w:hint="cs"/>
          <w:sz w:val="18"/>
          <w:szCs w:val="18"/>
          <w:rtl/>
        </w:rPr>
        <w:t>".</w:t>
      </w:r>
      <w:r w:rsidRPr="008A6C1B">
        <w:rPr>
          <w:rFonts w:hint="cs"/>
          <w:sz w:val="18"/>
          <w:szCs w:val="18"/>
          <w:rtl/>
        </w:rPr>
        <w:t xml:space="preserve"> </w:t>
      </w:r>
      <w:r w:rsidR="002B04C9" w:rsidRPr="008A6C1B">
        <w:rPr>
          <w:rFonts w:hint="cs"/>
          <w:sz w:val="18"/>
          <w:szCs w:val="18"/>
          <w:rtl/>
        </w:rPr>
        <w:t>[</w:t>
      </w:r>
      <w:proofErr w:type="spellStart"/>
      <w:r w:rsidRPr="008A6C1B">
        <w:rPr>
          <w:rFonts w:hint="cs"/>
          <w:sz w:val="18"/>
          <w:szCs w:val="18"/>
          <w:rtl/>
        </w:rPr>
        <w:t>ובתוס</w:t>
      </w:r>
      <w:proofErr w:type="spellEnd"/>
      <w:r w:rsidRPr="008A6C1B">
        <w:rPr>
          <w:rFonts w:hint="cs"/>
          <w:sz w:val="18"/>
          <w:szCs w:val="18"/>
          <w:rtl/>
        </w:rPr>
        <w:t xml:space="preserve">' בפסחים מבואר שגם אם </w:t>
      </w:r>
      <w:proofErr w:type="spellStart"/>
      <w:r w:rsidRPr="008A6C1B">
        <w:rPr>
          <w:rFonts w:hint="cs"/>
          <w:sz w:val="18"/>
          <w:szCs w:val="18"/>
          <w:rtl/>
        </w:rPr>
        <w:t>ריחא</w:t>
      </w:r>
      <w:proofErr w:type="spellEnd"/>
      <w:r w:rsidRPr="008A6C1B">
        <w:rPr>
          <w:rFonts w:hint="cs"/>
          <w:sz w:val="18"/>
          <w:szCs w:val="18"/>
          <w:rtl/>
        </w:rPr>
        <w:t xml:space="preserve"> מילתא "לא הוי איסור כולי האי".</w:t>
      </w:r>
      <w:r w:rsidR="002B04C9" w:rsidRPr="008A6C1B">
        <w:rPr>
          <w:rFonts w:hint="cs"/>
          <w:sz w:val="18"/>
          <w:szCs w:val="18"/>
          <w:rtl/>
        </w:rPr>
        <w:t>]</w:t>
      </w:r>
    </w:p>
    <w:p w:rsidR="006C16DC" w:rsidRPr="008A6C1B" w:rsidRDefault="00CA45BA" w:rsidP="00D854B6">
      <w:pPr>
        <w:jc w:val="center"/>
        <w:rPr>
          <w:b/>
          <w:bCs/>
          <w:sz w:val="18"/>
          <w:szCs w:val="18"/>
          <w:rtl/>
        </w:rPr>
      </w:pPr>
      <w:r w:rsidRPr="008A6C1B">
        <w:rPr>
          <w:rFonts w:hint="cs"/>
          <w:b/>
          <w:bCs/>
          <w:sz w:val="18"/>
          <w:szCs w:val="18"/>
          <w:rtl/>
        </w:rPr>
        <w:t xml:space="preserve">גדרי לכתחילה </w:t>
      </w:r>
      <w:proofErr w:type="spellStart"/>
      <w:r w:rsidRPr="008A6C1B">
        <w:rPr>
          <w:rFonts w:hint="cs"/>
          <w:b/>
          <w:bCs/>
          <w:sz w:val="18"/>
          <w:szCs w:val="18"/>
          <w:rtl/>
        </w:rPr>
        <w:t>ודיעבד</w:t>
      </w:r>
      <w:proofErr w:type="spellEnd"/>
      <w:r w:rsidR="008A6C1B" w:rsidRPr="008A6C1B">
        <w:rPr>
          <w:rFonts w:hint="cs"/>
          <w:b/>
          <w:bCs/>
          <w:sz w:val="18"/>
          <w:szCs w:val="18"/>
          <w:rtl/>
        </w:rPr>
        <w:t xml:space="preserve"> לגבי </w:t>
      </w:r>
      <w:proofErr w:type="spellStart"/>
      <w:r w:rsidR="008A6C1B" w:rsidRPr="008A6C1B">
        <w:rPr>
          <w:rFonts w:hint="cs"/>
          <w:b/>
          <w:bCs/>
          <w:sz w:val="18"/>
          <w:szCs w:val="18"/>
          <w:rtl/>
        </w:rPr>
        <w:t>ריחא</w:t>
      </w:r>
      <w:proofErr w:type="spellEnd"/>
    </w:p>
    <w:p w:rsidR="007051A7" w:rsidRPr="008A6C1B" w:rsidRDefault="00744DF0" w:rsidP="00D854B6">
      <w:pPr>
        <w:jc w:val="both"/>
        <w:rPr>
          <w:sz w:val="18"/>
          <w:szCs w:val="18"/>
          <w:rtl/>
        </w:rPr>
      </w:pPr>
      <w:r w:rsidRPr="008A6C1B">
        <w:rPr>
          <w:rFonts w:hint="cs"/>
          <w:sz w:val="18"/>
          <w:szCs w:val="18"/>
          <w:rtl/>
        </w:rPr>
        <w:t xml:space="preserve">לדעת המחבר </w:t>
      </w:r>
      <w:r w:rsidRPr="008A6C1B">
        <w:rPr>
          <w:sz w:val="18"/>
          <w:szCs w:val="18"/>
          <w:rtl/>
        </w:rPr>
        <w:t>–</w:t>
      </w:r>
      <w:r w:rsidRPr="008A6C1B">
        <w:rPr>
          <w:rFonts w:hint="cs"/>
          <w:sz w:val="18"/>
          <w:szCs w:val="18"/>
          <w:rtl/>
        </w:rPr>
        <w:t xml:space="preserve"> כל שנצלתה כבר השחוטה עם הנבילה, מוגדר </w:t>
      </w:r>
      <w:proofErr w:type="spellStart"/>
      <w:r w:rsidRPr="008A6C1B">
        <w:rPr>
          <w:rFonts w:hint="cs"/>
          <w:sz w:val="18"/>
          <w:szCs w:val="18"/>
          <w:rtl/>
        </w:rPr>
        <w:t>דיעבד</w:t>
      </w:r>
      <w:proofErr w:type="spellEnd"/>
      <w:r w:rsidRPr="008A6C1B">
        <w:rPr>
          <w:rFonts w:hint="cs"/>
          <w:sz w:val="18"/>
          <w:szCs w:val="18"/>
          <w:rtl/>
        </w:rPr>
        <w:t xml:space="preserve">, ומותר. (ויש </w:t>
      </w:r>
      <w:r w:rsidR="00B17D35" w:rsidRPr="008A6C1B">
        <w:rPr>
          <w:rFonts w:hint="cs"/>
          <w:sz w:val="18"/>
          <w:szCs w:val="18"/>
          <w:rtl/>
        </w:rPr>
        <w:t>ל</w:t>
      </w:r>
      <w:r w:rsidRPr="008A6C1B">
        <w:rPr>
          <w:rFonts w:hint="cs"/>
          <w:sz w:val="18"/>
          <w:szCs w:val="18"/>
          <w:rtl/>
        </w:rPr>
        <w:t>דון</w:t>
      </w:r>
      <w:r w:rsidR="00B17D35" w:rsidRPr="008A6C1B">
        <w:rPr>
          <w:rFonts w:hint="cs"/>
          <w:sz w:val="18"/>
          <w:szCs w:val="18"/>
          <w:rtl/>
        </w:rPr>
        <w:t xml:space="preserve"> האם יתיר המחבר אף </w:t>
      </w:r>
      <w:proofErr w:type="spellStart"/>
      <w:r w:rsidR="00B17D35" w:rsidRPr="008A6C1B">
        <w:rPr>
          <w:rFonts w:hint="cs"/>
          <w:sz w:val="18"/>
          <w:szCs w:val="18"/>
          <w:rtl/>
        </w:rPr>
        <w:t>בגוונא</w:t>
      </w:r>
      <w:proofErr w:type="spellEnd"/>
      <w:r w:rsidR="00B17D35" w:rsidRPr="008A6C1B">
        <w:rPr>
          <w:rFonts w:hint="cs"/>
          <w:sz w:val="18"/>
          <w:szCs w:val="18"/>
          <w:rtl/>
        </w:rPr>
        <w:t xml:space="preserve"> שאין שום עניין באכילת חתיכה זו, כגון שעומדות לפניו כמה חתיכות בשר ועומד לאכול רק אחת מהן, ואת השאר להשליך לאשפה, האם יותר לו לאכול דווקא את אותה חתיכה אשר נצלתה עם איסור.)</w:t>
      </w:r>
      <w:r w:rsidRPr="008A6C1B">
        <w:rPr>
          <w:rFonts w:hint="cs"/>
          <w:sz w:val="18"/>
          <w:szCs w:val="18"/>
          <w:rtl/>
        </w:rPr>
        <w:t xml:space="preserve"> </w:t>
      </w:r>
      <w:r w:rsidR="00D854B6">
        <w:rPr>
          <w:rFonts w:hint="cs"/>
          <w:sz w:val="18"/>
          <w:szCs w:val="18"/>
          <w:rtl/>
        </w:rPr>
        <w:t xml:space="preserve">  </w:t>
      </w:r>
      <w:r w:rsidRPr="008A6C1B">
        <w:rPr>
          <w:rFonts w:hint="cs"/>
          <w:sz w:val="18"/>
          <w:szCs w:val="18"/>
          <w:rtl/>
        </w:rPr>
        <w:t>ובפשטות</w:t>
      </w:r>
      <w:r w:rsidR="007051A7" w:rsidRPr="008A6C1B">
        <w:rPr>
          <w:rFonts w:hint="cs"/>
          <w:sz w:val="18"/>
          <w:szCs w:val="18"/>
          <w:rtl/>
        </w:rPr>
        <w:t>,</w:t>
      </w:r>
      <w:r w:rsidR="00EC03D4" w:rsidRPr="008A6C1B">
        <w:rPr>
          <w:rFonts w:hint="cs"/>
          <w:sz w:val="18"/>
          <w:szCs w:val="18"/>
          <w:rtl/>
        </w:rPr>
        <w:t xml:space="preserve"> </w:t>
      </w:r>
      <w:r w:rsidR="007051A7" w:rsidRPr="008A6C1B">
        <w:rPr>
          <w:rFonts w:hint="cs"/>
          <w:sz w:val="18"/>
          <w:szCs w:val="18"/>
          <w:rtl/>
        </w:rPr>
        <w:t>לדעתו</w:t>
      </w:r>
      <w:r w:rsidRPr="008A6C1B">
        <w:rPr>
          <w:rFonts w:hint="cs"/>
          <w:sz w:val="18"/>
          <w:szCs w:val="18"/>
          <w:rtl/>
        </w:rPr>
        <w:t xml:space="preserve">, גם כל מקום שנאפתה פת עם בשר, מוגדר </w:t>
      </w:r>
      <w:proofErr w:type="spellStart"/>
      <w:r w:rsidRPr="008A6C1B">
        <w:rPr>
          <w:rFonts w:hint="cs"/>
          <w:sz w:val="18"/>
          <w:szCs w:val="18"/>
          <w:rtl/>
        </w:rPr>
        <w:t>כל</w:t>
      </w:r>
      <w:r w:rsidR="007051A7" w:rsidRPr="008A6C1B">
        <w:rPr>
          <w:rFonts w:hint="cs"/>
          <w:sz w:val="18"/>
          <w:szCs w:val="18"/>
          <w:rtl/>
        </w:rPr>
        <w:t>כ</w:t>
      </w:r>
      <w:r w:rsidRPr="008A6C1B">
        <w:rPr>
          <w:rFonts w:hint="cs"/>
          <w:sz w:val="18"/>
          <w:szCs w:val="18"/>
          <w:rtl/>
        </w:rPr>
        <w:t>תחילה</w:t>
      </w:r>
      <w:proofErr w:type="spellEnd"/>
      <w:r w:rsidRPr="008A6C1B">
        <w:rPr>
          <w:rFonts w:hint="cs"/>
          <w:sz w:val="18"/>
          <w:szCs w:val="18"/>
          <w:rtl/>
        </w:rPr>
        <w:t xml:space="preserve">, ואסור לאכלו </w:t>
      </w:r>
      <w:proofErr w:type="spellStart"/>
      <w:r w:rsidRPr="008A6C1B">
        <w:rPr>
          <w:rFonts w:hint="cs"/>
          <w:sz w:val="18"/>
          <w:szCs w:val="18"/>
          <w:rtl/>
        </w:rPr>
        <w:t>בכותח</w:t>
      </w:r>
      <w:proofErr w:type="spellEnd"/>
      <w:r w:rsidRPr="008A6C1B">
        <w:rPr>
          <w:rFonts w:hint="cs"/>
          <w:sz w:val="18"/>
          <w:szCs w:val="18"/>
          <w:rtl/>
        </w:rPr>
        <w:t>.</w:t>
      </w:r>
    </w:p>
    <w:p w:rsidR="00165397" w:rsidRPr="00D854B6" w:rsidRDefault="00744DF0" w:rsidP="00D854B6">
      <w:pPr>
        <w:jc w:val="both"/>
        <w:rPr>
          <w:sz w:val="18"/>
          <w:szCs w:val="18"/>
          <w:rtl/>
        </w:rPr>
      </w:pPr>
      <w:r w:rsidRPr="008A6C1B">
        <w:rPr>
          <w:rFonts w:hint="cs"/>
          <w:sz w:val="18"/>
          <w:szCs w:val="18"/>
          <w:rtl/>
        </w:rPr>
        <w:t xml:space="preserve">אמנם </w:t>
      </w:r>
      <w:r w:rsidR="00165397" w:rsidRPr="008A6C1B">
        <w:rPr>
          <w:rFonts w:hint="cs"/>
          <w:sz w:val="18"/>
          <w:szCs w:val="18"/>
          <w:rtl/>
        </w:rPr>
        <w:t xml:space="preserve">לדעת </w:t>
      </w:r>
      <w:proofErr w:type="spellStart"/>
      <w:r w:rsidR="00165397" w:rsidRPr="008A6C1B">
        <w:rPr>
          <w:rFonts w:hint="cs"/>
          <w:sz w:val="18"/>
          <w:szCs w:val="18"/>
          <w:rtl/>
        </w:rPr>
        <w:t>הרמ"א</w:t>
      </w:r>
      <w:proofErr w:type="spellEnd"/>
      <w:r w:rsidR="00165397" w:rsidRPr="008A6C1B">
        <w:rPr>
          <w:rStyle w:val="a5"/>
          <w:sz w:val="18"/>
          <w:szCs w:val="18"/>
          <w:rtl/>
        </w:rPr>
        <w:footnoteReference w:id="17"/>
      </w:r>
      <w:r w:rsidR="00D854B6">
        <w:rPr>
          <w:rFonts w:hint="cs"/>
          <w:sz w:val="18"/>
          <w:szCs w:val="18"/>
          <w:rtl/>
        </w:rPr>
        <w:t>:</w:t>
      </w:r>
      <w:r w:rsidR="00165397" w:rsidRPr="008A6C1B">
        <w:rPr>
          <w:rFonts w:hint="cs"/>
          <w:sz w:val="18"/>
          <w:szCs w:val="18"/>
          <w:rtl/>
        </w:rPr>
        <w:t xml:space="preserve"> </w:t>
      </w:r>
      <w:r w:rsidR="00D854B6">
        <w:rPr>
          <w:rFonts w:hint="cs"/>
          <w:sz w:val="18"/>
          <w:szCs w:val="18"/>
          <w:rtl/>
        </w:rPr>
        <w:t xml:space="preserve">    </w:t>
      </w:r>
      <w:r w:rsidRPr="008A6C1B">
        <w:rPr>
          <w:rFonts w:hint="cs"/>
          <w:sz w:val="18"/>
          <w:szCs w:val="18"/>
          <w:rtl/>
        </w:rPr>
        <w:t xml:space="preserve">לעיתים, אף פת שנצלתה עם איסור מוגדרת </w:t>
      </w:r>
      <w:proofErr w:type="spellStart"/>
      <w:r w:rsidRPr="008A6C1B">
        <w:rPr>
          <w:rFonts w:hint="cs"/>
          <w:sz w:val="18"/>
          <w:szCs w:val="18"/>
          <w:rtl/>
        </w:rPr>
        <w:t>כלכתחילה</w:t>
      </w:r>
      <w:proofErr w:type="spellEnd"/>
      <w:r w:rsidRPr="008A6C1B">
        <w:rPr>
          <w:rFonts w:hint="cs"/>
          <w:sz w:val="18"/>
          <w:szCs w:val="18"/>
          <w:rtl/>
        </w:rPr>
        <w:t xml:space="preserve"> </w:t>
      </w:r>
      <w:r w:rsidRPr="008A6C1B">
        <w:rPr>
          <w:sz w:val="18"/>
          <w:szCs w:val="18"/>
          <w:rtl/>
        </w:rPr>
        <w:t>–</w:t>
      </w:r>
      <w:r w:rsidRPr="008A6C1B">
        <w:rPr>
          <w:rFonts w:hint="cs"/>
          <w:sz w:val="18"/>
          <w:szCs w:val="18"/>
          <w:rtl/>
        </w:rPr>
        <w:t xml:space="preserve"> כאשר נצלתה אצל הגוי, ומצוי לקנות פת אחרת</w:t>
      </w:r>
      <w:r w:rsidRPr="008A6C1B">
        <w:rPr>
          <w:rStyle w:val="a5"/>
          <w:sz w:val="18"/>
          <w:szCs w:val="18"/>
          <w:rtl/>
        </w:rPr>
        <w:footnoteReference w:id="18"/>
      </w:r>
      <w:r w:rsidRPr="008A6C1B">
        <w:rPr>
          <w:rFonts w:hint="cs"/>
          <w:sz w:val="18"/>
          <w:szCs w:val="18"/>
          <w:rtl/>
        </w:rPr>
        <w:t>.</w:t>
      </w:r>
      <w:r w:rsidR="00D854B6">
        <w:rPr>
          <w:rFonts w:hint="cs"/>
          <w:sz w:val="18"/>
          <w:szCs w:val="18"/>
          <w:rtl/>
        </w:rPr>
        <w:t xml:space="preserve">      </w:t>
      </w:r>
      <w:r w:rsidRPr="008A6C1B">
        <w:rPr>
          <w:rFonts w:hint="cs"/>
          <w:sz w:val="18"/>
          <w:szCs w:val="18"/>
          <w:rtl/>
        </w:rPr>
        <w:t>ו</w:t>
      </w:r>
      <w:r w:rsidR="00CA45BA" w:rsidRPr="008A6C1B">
        <w:rPr>
          <w:rFonts w:hint="cs"/>
          <w:sz w:val="18"/>
          <w:szCs w:val="18"/>
          <w:rtl/>
        </w:rPr>
        <w:t xml:space="preserve">לעיתים, אף פת שנצלתה עם בשר מוגדר </w:t>
      </w:r>
      <w:proofErr w:type="spellStart"/>
      <w:r w:rsidR="00CA45BA" w:rsidRPr="008A6C1B">
        <w:rPr>
          <w:rFonts w:hint="cs"/>
          <w:sz w:val="18"/>
          <w:szCs w:val="18"/>
          <w:rtl/>
        </w:rPr>
        <w:t>כדיעבד</w:t>
      </w:r>
      <w:proofErr w:type="spellEnd"/>
      <w:r w:rsidR="00CA45BA" w:rsidRPr="008A6C1B">
        <w:rPr>
          <w:rFonts w:hint="cs"/>
          <w:sz w:val="18"/>
          <w:szCs w:val="18"/>
          <w:rtl/>
        </w:rPr>
        <w:t xml:space="preserve"> </w:t>
      </w:r>
      <w:r w:rsidR="00CA45BA" w:rsidRPr="008A6C1B">
        <w:rPr>
          <w:sz w:val="18"/>
          <w:szCs w:val="18"/>
          <w:rtl/>
        </w:rPr>
        <w:t>–</w:t>
      </w:r>
      <w:r w:rsidR="00CA45BA" w:rsidRPr="008A6C1B">
        <w:rPr>
          <w:rFonts w:hint="cs"/>
          <w:sz w:val="18"/>
          <w:szCs w:val="18"/>
          <w:rtl/>
        </w:rPr>
        <w:t xml:space="preserve"> כאשר לא מצויה לו פת אחרת לאכלה עם החלב</w:t>
      </w:r>
      <w:r w:rsidR="002B04C9" w:rsidRPr="008A6C1B">
        <w:rPr>
          <w:rStyle w:val="a5"/>
          <w:sz w:val="18"/>
          <w:szCs w:val="18"/>
          <w:rtl/>
        </w:rPr>
        <w:footnoteReference w:id="19"/>
      </w:r>
      <w:r w:rsidR="00CA45BA" w:rsidRPr="008A6C1B">
        <w:rPr>
          <w:rFonts w:hint="cs"/>
          <w:sz w:val="18"/>
          <w:szCs w:val="18"/>
          <w:rtl/>
        </w:rPr>
        <w:t>.</w:t>
      </w:r>
      <w:r w:rsidR="004D05E6" w:rsidRPr="008A6C1B">
        <w:rPr>
          <w:rFonts w:hint="cs"/>
          <w:sz w:val="18"/>
          <w:szCs w:val="18"/>
          <w:rtl/>
        </w:rPr>
        <w:t xml:space="preserve"> (ועי' </w:t>
      </w:r>
      <w:proofErr w:type="spellStart"/>
      <w:r w:rsidR="004D05E6" w:rsidRPr="008A6C1B">
        <w:rPr>
          <w:rFonts w:hint="cs"/>
          <w:sz w:val="18"/>
          <w:szCs w:val="18"/>
          <w:rtl/>
        </w:rPr>
        <w:t>פמ"ג</w:t>
      </w:r>
      <w:proofErr w:type="spellEnd"/>
      <w:r w:rsidR="004D05E6" w:rsidRPr="008A6C1B">
        <w:rPr>
          <w:rStyle w:val="a5"/>
          <w:sz w:val="18"/>
          <w:szCs w:val="18"/>
          <w:rtl/>
        </w:rPr>
        <w:footnoteReference w:id="20"/>
      </w:r>
      <w:r w:rsidR="004D05E6" w:rsidRPr="008A6C1B">
        <w:rPr>
          <w:rFonts w:hint="cs"/>
          <w:sz w:val="18"/>
          <w:szCs w:val="18"/>
          <w:rtl/>
        </w:rPr>
        <w:t xml:space="preserve"> שהיינו דווקא אם יש לו מאכל חלב שא"א לאכלו בלא פת. וכתב שם עוד שיש חולקים על היתר זה, אבל הסומך על </w:t>
      </w:r>
      <w:proofErr w:type="spellStart"/>
      <w:r w:rsidR="004D05E6" w:rsidRPr="008A6C1B">
        <w:rPr>
          <w:rFonts w:hint="cs"/>
          <w:sz w:val="18"/>
          <w:szCs w:val="18"/>
          <w:rtl/>
        </w:rPr>
        <w:t>הרמ"א</w:t>
      </w:r>
      <w:proofErr w:type="spellEnd"/>
      <w:r w:rsidR="004D05E6" w:rsidRPr="008A6C1B">
        <w:rPr>
          <w:rFonts w:hint="cs"/>
          <w:sz w:val="18"/>
          <w:szCs w:val="18"/>
          <w:rtl/>
        </w:rPr>
        <w:t xml:space="preserve"> לא הפסיד.)</w:t>
      </w:r>
    </w:p>
    <w:p w:rsidR="00B230DE" w:rsidRPr="008A6C1B" w:rsidRDefault="005C04CE" w:rsidP="00D854B6">
      <w:pPr>
        <w:jc w:val="center"/>
        <w:rPr>
          <w:b/>
          <w:bCs/>
          <w:sz w:val="18"/>
          <w:szCs w:val="18"/>
          <w:rtl/>
        </w:rPr>
      </w:pPr>
      <w:r w:rsidRPr="008A6C1B">
        <w:rPr>
          <w:rFonts w:hint="cs"/>
          <w:b/>
          <w:bCs/>
          <w:sz w:val="18"/>
          <w:szCs w:val="18"/>
          <w:rtl/>
        </w:rPr>
        <w:t xml:space="preserve">פת שנצלתה עם בשר </w:t>
      </w:r>
      <w:r w:rsidRPr="008A6C1B">
        <w:rPr>
          <w:b/>
          <w:bCs/>
          <w:sz w:val="18"/>
          <w:szCs w:val="18"/>
          <w:rtl/>
        </w:rPr>
        <w:t>–</w:t>
      </w:r>
      <w:r w:rsidRPr="008A6C1B">
        <w:rPr>
          <w:rFonts w:hint="cs"/>
          <w:b/>
          <w:bCs/>
          <w:sz w:val="18"/>
          <w:szCs w:val="18"/>
          <w:rtl/>
        </w:rPr>
        <w:t xml:space="preserve"> לאכלה בפני עצמה</w:t>
      </w:r>
    </w:p>
    <w:p w:rsidR="005C04CE" w:rsidRPr="008A6C1B" w:rsidRDefault="005C04CE" w:rsidP="00D854B6">
      <w:pPr>
        <w:jc w:val="both"/>
        <w:rPr>
          <w:sz w:val="18"/>
          <w:szCs w:val="18"/>
          <w:rtl/>
        </w:rPr>
      </w:pPr>
      <w:r w:rsidRPr="008A6C1B">
        <w:rPr>
          <w:rFonts w:hint="cs"/>
          <w:sz w:val="18"/>
          <w:szCs w:val="18"/>
          <w:rtl/>
        </w:rPr>
        <w:t>בגמ' משמע שמותר</w:t>
      </w:r>
      <w:r w:rsidR="007051A7" w:rsidRPr="008A6C1B">
        <w:rPr>
          <w:rStyle w:val="a5"/>
          <w:sz w:val="18"/>
          <w:szCs w:val="18"/>
          <w:rtl/>
        </w:rPr>
        <w:footnoteReference w:id="21"/>
      </w:r>
      <w:r w:rsidRPr="008A6C1B">
        <w:rPr>
          <w:rFonts w:hint="cs"/>
          <w:sz w:val="18"/>
          <w:szCs w:val="18"/>
          <w:rtl/>
        </w:rPr>
        <w:t xml:space="preserve">. </w:t>
      </w:r>
      <w:proofErr w:type="spellStart"/>
      <w:r w:rsidRPr="008A6C1B">
        <w:rPr>
          <w:rFonts w:hint="cs"/>
          <w:sz w:val="18"/>
          <w:szCs w:val="18"/>
          <w:rtl/>
        </w:rPr>
        <w:t>ולר"ן</w:t>
      </w:r>
      <w:proofErr w:type="spellEnd"/>
      <w:r w:rsidRPr="008A6C1B">
        <w:rPr>
          <w:rFonts w:hint="cs"/>
          <w:sz w:val="18"/>
          <w:szCs w:val="18"/>
          <w:rtl/>
        </w:rPr>
        <w:t xml:space="preserve"> הוא משום </w:t>
      </w:r>
      <w:proofErr w:type="spellStart"/>
      <w:r w:rsidRPr="008A6C1B">
        <w:rPr>
          <w:rFonts w:hint="cs"/>
          <w:sz w:val="18"/>
          <w:szCs w:val="18"/>
          <w:rtl/>
        </w:rPr>
        <w:t>שריחא</w:t>
      </w:r>
      <w:proofErr w:type="spellEnd"/>
      <w:r w:rsidRPr="008A6C1B">
        <w:rPr>
          <w:rFonts w:hint="cs"/>
          <w:sz w:val="18"/>
          <w:szCs w:val="18"/>
          <w:rtl/>
        </w:rPr>
        <w:t xml:space="preserve"> לאו מילתא, אך </w:t>
      </w:r>
      <w:proofErr w:type="spellStart"/>
      <w:r w:rsidRPr="008A6C1B">
        <w:rPr>
          <w:rFonts w:hint="cs"/>
          <w:sz w:val="18"/>
          <w:szCs w:val="18"/>
          <w:rtl/>
        </w:rPr>
        <w:t>לתוס</w:t>
      </w:r>
      <w:proofErr w:type="spellEnd"/>
      <w:r w:rsidRPr="008A6C1B">
        <w:rPr>
          <w:rFonts w:hint="cs"/>
          <w:sz w:val="18"/>
          <w:szCs w:val="18"/>
          <w:rtl/>
        </w:rPr>
        <w:t xml:space="preserve">' הוא משום שגם אם </w:t>
      </w:r>
      <w:proofErr w:type="spellStart"/>
      <w:r w:rsidRPr="008A6C1B">
        <w:rPr>
          <w:rFonts w:hint="cs"/>
          <w:sz w:val="18"/>
          <w:szCs w:val="18"/>
          <w:rtl/>
        </w:rPr>
        <w:t>ריחא</w:t>
      </w:r>
      <w:proofErr w:type="spellEnd"/>
      <w:r w:rsidRPr="008A6C1B">
        <w:rPr>
          <w:rFonts w:hint="cs"/>
          <w:sz w:val="18"/>
          <w:szCs w:val="18"/>
          <w:rtl/>
        </w:rPr>
        <w:t xml:space="preserve"> מילתא, לא הוי </w:t>
      </w:r>
      <w:proofErr w:type="spellStart"/>
      <w:r w:rsidRPr="008A6C1B">
        <w:rPr>
          <w:rFonts w:hint="cs"/>
          <w:sz w:val="18"/>
          <w:szCs w:val="18"/>
          <w:rtl/>
        </w:rPr>
        <w:t>איסורא</w:t>
      </w:r>
      <w:proofErr w:type="spellEnd"/>
      <w:r w:rsidRPr="008A6C1B">
        <w:rPr>
          <w:rFonts w:hint="cs"/>
          <w:sz w:val="18"/>
          <w:szCs w:val="18"/>
          <w:rtl/>
        </w:rPr>
        <w:t xml:space="preserve"> כולי האי. ואולי </w:t>
      </w:r>
      <w:proofErr w:type="spellStart"/>
      <w:r w:rsidRPr="008A6C1B">
        <w:rPr>
          <w:rFonts w:hint="cs"/>
          <w:sz w:val="18"/>
          <w:szCs w:val="18"/>
          <w:rtl/>
        </w:rPr>
        <w:t>נפ"מ</w:t>
      </w:r>
      <w:proofErr w:type="spellEnd"/>
      <w:r w:rsidRPr="008A6C1B">
        <w:rPr>
          <w:rFonts w:hint="cs"/>
          <w:sz w:val="18"/>
          <w:szCs w:val="18"/>
          <w:rtl/>
        </w:rPr>
        <w:t xml:space="preserve"> לדידן במקום </w:t>
      </w:r>
      <w:proofErr w:type="spellStart"/>
      <w:r w:rsidRPr="008A6C1B">
        <w:rPr>
          <w:rFonts w:hint="cs"/>
          <w:sz w:val="18"/>
          <w:szCs w:val="18"/>
          <w:rtl/>
        </w:rPr>
        <w:t>שמודו</w:t>
      </w:r>
      <w:proofErr w:type="spellEnd"/>
      <w:r w:rsidRPr="008A6C1B">
        <w:rPr>
          <w:rFonts w:hint="cs"/>
          <w:sz w:val="18"/>
          <w:szCs w:val="18"/>
          <w:rtl/>
        </w:rPr>
        <w:t xml:space="preserve"> </w:t>
      </w:r>
      <w:proofErr w:type="spellStart"/>
      <w:r w:rsidRPr="008A6C1B">
        <w:rPr>
          <w:rFonts w:hint="cs"/>
          <w:sz w:val="18"/>
          <w:szCs w:val="18"/>
          <w:rtl/>
        </w:rPr>
        <w:t>כ"ע</w:t>
      </w:r>
      <w:proofErr w:type="spellEnd"/>
      <w:r w:rsidRPr="008A6C1B">
        <w:rPr>
          <w:rFonts w:hint="cs"/>
          <w:sz w:val="18"/>
          <w:szCs w:val="18"/>
          <w:rtl/>
        </w:rPr>
        <w:t xml:space="preserve"> </w:t>
      </w:r>
      <w:proofErr w:type="spellStart"/>
      <w:r w:rsidRPr="008A6C1B">
        <w:rPr>
          <w:rFonts w:hint="cs"/>
          <w:sz w:val="18"/>
          <w:szCs w:val="18"/>
          <w:rtl/>
        </w:rPr>
        <w:t>שריחא</w:t>
      </w:r>
      <w:proofErr w:type="spellEnd"/>
      <w:r w:rsidRPr="008A6C1B">
        <w:rPr>
          <w:rFonts w:hint="cs"/>
          <w:sz w:val="18"/>
          <w:szCs w:val="18"/>
          <w:rtl/>
        </w:rPr>
        <w:t xml:space="preserve"> מילתא, האם מותר לאכול הפת בפני עצמה (ואינו מוכרח).</w:t>
      </w:r>
    </w:p>
    <w:p w:rsidR="00B230DE" w:rsidRPr="008A6C1B" w:rsidRDefault="00B230DE" w:rsidP="00D854B6">
      <w:pPr>
        <w:jc w:val="center"/>
        <w:rPr>
          <w:b/>
          <w:bCs/>
          <w:sz w:val="18"/>
          <w:szCs w:val="18"/>
          <w:rtl/>
        </w:rPr>
      </w:pPr>
      <w:r w:rsidRPr="008A6C1B">
        <w:rPr>
          <w:rFonts w:hint="cs"/>
          <w:b/>
          <w:bCs/>
          <w:sz w:val="18"/>
          <w:szCs w:val="18"/>
          <w:rtl/>
        </w:rPr>
        <w:t xml:space="preserve">אופנים </w:t>
      </w:r>
      <w:proofErr w:type="spellStart"/>
      <w:r w:rsidRPr="008A6C1B">
        <w:rPr>
          <w:rFonts w:hint="cs"/>
          <w:b/>
          <w:bCs/>
          <w:sz w:val="18"/>
          <w:szCs w:val="18"/>
          <w:rtl/>
        </w:rPr>
        <w:t>שלכ"ע</w:t>
      </w:r>
      <w:proofErr w:type="spellEnd"/>
      <w:r w:rsidRPr="008A6C1B">
        <w:rPr>
          <w:rFonts w:hint="cs"/>
          <w:b/>
          <w:bCs/>
          <w:sz w:val="18"/>
          <w:szCs w:val="18"/>
          <w:rtl/>
        </w:rPr>
        <w:t xml:space="preserve"> </w:t>
      </w:r>
      <w:proofErr w:type="spellStart"/>
      <w:r w:rsidRPr="008A6C1B">
        <w:rPr>
          <w:rFonts w:hint="cs"/>
          <w:b/>
          <w:bCs/>
          <w:sz w:val="18"/>
          <w:szCs w:val="18"/>
          <w:rtl/>
        </w:rPr>
        <w:t>ריחא</w:t>
      </w:r>
      <w:proofErr w:type="spellEnd"/>
      <w:r w:rsidRPr="008A6C1B">
        <w:rPr>
          <w:rFonts w:hint="cs"/>
          <w:b/>
          <w:bCs/>
          <w:sz w:val="18"/>
          <w:szCs w:val="18"/>
          <w:rtl/>
        </w:rPr>
        <w:t xml:space="preserve"> לאו מילתא </w:t>
      </w:r>
      <w:r w:rsidR="00D854B6">
        <w:rPr>
          <w:rFonts w:hint="cs"/>
          <w:b/>
          <w:bCs/>
          <w:sz w:val="18"/>
          <w:szCs w:val="18"/>
          <w:rtl/>
        </w:rPr>
        <w:t xml:space="preserve">                       </w:t>
      </w:r>
      <w:r w:rsidRPr="008A6C1B">
        <w:rPr>
          <w:rFonts w:hint="cs"/>
          <w:b/>
          <w:bCs/>
          <w:sz w:val="18"/>
          <w:szCs w:val="18"/>
          <w:rtl/>
        </w:rPr>
        <w:t>(</w:t>
      </w:r>
      <w:proofErr w:type="spellStart"/>
      <w:r w:rsidRPr="008A6C1B">
        <w:rPr>
          <w:rFonts w:hint="cs"/>
          <w:b/>
          <w:bCs/>
          <w:sz w:val="18"/>
          <w:szCs w:val="18"/>
          <w:rtl/>
        </w:rPr>
        <w:t>ונפ"מ</w:t>
      </w:r>
      <w:proofErr w:type="spellEnd"/>
      <w:r w:rsidRPr="008A6C1B">
        <w:rPr>
          <w:rFonts w:hint="cs"/>
          <w:b/>
          <w:bCs/>
          <w:sz w:val="18"/>
          <w:szCs w:val="18"/>
          <w:rtl/>
        </w:rPr>
        <w:t xml:space="preserve"> לדידן שמותר אף לכתחילה)</w:t>
      </w:r>
    </w:p>
    <w:p w:rsidR="009547F0" w:rsidRDefault="00B230DE" w:rsidP="009547F0">
      <w:pPr>
        <w:jc w:val="both"/>
        <w:rPr>
          <w:sz w:val="18"/>
          <w:szCs w:val="18"/>
          <w:rtl/>
        </w:rPr>
      </w:pPr>
      <w:r w:rsidRPr="008A6C1B">
        <w:rPr>
          <w:rFonts w:hint="cs"/>
          <w:b/>
          <w:bCs/>
          <w:sz w:val="18"/>
          <w:szCs w:val="18"/>
          <w:rtl/>
        </w:rPr>
        <w:t>שניהם כחושים</w:t>
      </w:r>
      <w:r w:rsidR="00FE4AD9">
        <w:rPr>
          <w:rFonts w:hint="cs"/>
          <w:b/>
          <w:bCs/>
          <w:sz w:val="18"/>
          <w:szCs w:val="18"/>
          <w:rtl/>
        </w:rPr>
        <w:t xml:space="preserve">       </w:t>
      </w:r>
      <w:r w:rsidR="00CA45BA" w:rsidRPr="008A6C1B">
        <w:rPr>
          <w:rFonts w:hint="cs"/>
          <w:sz w:val="18"/>
          <w:szCs w:val="18"/>
          <w:rtl/>
        </w:rPr>
        <w:t xml:space="preserve">בגמ' מבואר שרק כאשר אחד מהדברים שמן שייך </w:t>
      </w:r>
      <w:proofErr w:type="spellStart"/>
      <w:r w:rsidR="00CA45BA" w:rsidRPr="008A6C1B">
        <w:rPr>
          <w:rFonts w:hint="cs"/>
          <w:sz w:val="18"/>
          <w:szCs w:val="18"/>
          <w:rtl/>
        </w:rPr>
        <w:t>ריחא</w:t>
      </w:r>
      <w:proofErr w:type="spellEnd"/>
      <w:r w:rsidR="00CA45BA" w:rsidRPr="008A6C1B">
        <w:rPr>
          <w:rFonts w:hint="cs"/>
          <w:sz w:val="18"/>
          <w:szCs w:val="18"/>
          <w:rtl/>
        </w:rPr>
        <w:t xml:space="preserve"> מילתא. ומשמע ששניהם כחושים מותר </w:t>
      </w:r>
      <w:proofErr w:type="spellStart"/>
      <w:r w:rsidR="00CA45BA" w:rsidRPr="008A6C1B">
        <w:rPr>
          <w:rFonts w:hint="cs"/>
          <w:sz w:val="18"/>
          <w:szCs w:val="18"/>
          <w:rtl/>
        </w:rPr>
        <w:t>לכ"ע</w:t>
      </w:r>
      <w:proofErr w:type="spellEnd"/>
      <w:r w:rsidR="00CA45BA" w:rsidRPr="008A6C1B">
        <w:rPr>
          <w:rFonts w:hint="cs"/>
          <w:sz w:val="18"/>
          <w:szCs w:val="18"/>
          <w:rtl/>
        </w:rPr>
        <w:t xml:space="preserve">. וכן פסק </w:t>
      </w:r>
      <w:proofErr w:type="spellStart"/>
      <w:r w:rsidR="00CA45BA" w:rsidRPr="008A6C1B">
        <w:rPr>
          <w:rFonts w:hint="cs"/>
          <w:sz w:val="18"/>
          <w:szCs w:val="18"/>
          <w:rtl/>
        </w:rPr>
        <w:t>הרשב"א</w:t>
      </w:r>
      <w:proofErr w:type="spellEnd"/>
      <w:r w:rsidR="00CA45BA" w:rsidRPr="008A6C1B">
        <w:rPr>
          <w:rFonts w:hint="cs"/>
          <w:sz w:val="18"/>
          <w:szCs w:val="18"/>
          <w:rtl/>
        </w:rPr>
        <w:t xml:space="preserve"> אף לכתחילה, וכן פסקו </w:t>
      </w:r>
      <w:proofErr w:type="spellStart"/>
      <w:r w:rsidR="00CA45BA" w:rsidRPr="008A6C1B">
        <w:rPr>
          <w:rFonts w:hint="cs"/>
          <w:sz w:val="18"/>
          <w:szCs w:val="18"/>
          <w:rtl/>
        </w:rPr>
        <w:t>הט"ז</w:t>
      </w:r>
      <w:proofErr w:type="spellEnd"/>
      <w:r w:rsidR="00CA45BA" w:rsidRPr="008A6C1B">
        <w:rPr>
          <w:rFonts w:hint="cs"/>
          <w:sz w:val="18"/>
          <w:szCs w:val="18"/>
          <w:rtl/>
        </w:rPr>
        <w:t xml:space="preserve"> </w:t>
      </w:r>
      <w:proofErr w:type="spellStart"/>
      <w:r w:rsidR="00CA45BA" w:rsidRPr="008A6C1B">
        <w:rPr>
          <w:rFonts w:hint="cs"/>
          <w:sz w:val="18"/>
          <w:szCs w:val="18"/>
          <w:rtl/>
        </w:rPr>
        <w:t>והש"ך</w:t>
      </w:r>
      <w:proofErr w:type="spellEnd"/>
      <w:r w:rsidR="00CA45BA" w:rsidRPr="008A6C1B">
        <w:rPr>
          <w:rStyle w:val="a5"/>
          <w:sz w:val="18"/>
          <w:szCs w:val="18"/>
          <w:rtl/>
        </w:rPr>
        <w:footnoteReference w:id="22"/>
      </w:r>
      <w:r w:rsidR="00CA45BA" w:rsidRPr="008A6C1B">
        <w:rPr>
          <w:rFonts w:hint="cs"/>
          <w:sz w:val="18"/>
          <w:szCs w:val="18"/>
          <w:rtl/>
        </w:rPr>
        <w:t xml:space="preserve">. ולמעשה בד"כ </w:t>
      </w:r>
      <w:proofErr w:type="spellStart"/>
      <w:r w:rsidR="00CA45BA" w:rsidRPr="008A6C1B">
        <w:rPr>
          <w:rFonts w:hint="cs"/>
          <w:sz w:val="18"/>
          <w:szCs w:val="18"/>
          <w:rtl/>
        </w:rPr>
        <w:t>חיישינן</w:t>
      </w:r>
      <w:proofErr w:type="spellEnd"/>
      <w:r w:rsidR="00CA45BA" w:rsidRPr="008A6C1B">
        <w:rPr>
          <w:rFonts w:hint="cs"/>
          <w:sz w:val="18"/>
          <w:szCs w:val="18"/>
          <w:rtl/>
        </w:rPr>
        <w:t xml:space="preserve"> שנחשב שמן. ופת </w:t>
      </w:r>
      <w:r w:rsidR="00CA45BA" w:rsidRPr="008A6C1B">
        <w:rPr>
          <w:sz w:val="18"/>
          <w:szCs w:val="18"/>
          <w:rtl/>
        </w:rPr>
        <w:t>–</w:t>
      </w:r>
      <w:r w:rsidR="00CA45BA" w:rsidRPr="008A6C1B">
        <w:rPr>
          <w:rFonts w:hint="cs"/>
          <w:sz w:val="18"/>
          <w:szCs w:val="18"/>
          <w:rtl/>
        </w:rPr>
        <w:t xml:space="preserve"> ודאי נחשב כחוש</w:t>
      </w:r>
      <w:r w:rsidR="00E36567" w:rsidRPr="008A6C1B">
        <w:rPr>
          <w:rStyle w:val="a5"/>
          <w:sz w:val="18"/>
          <w:szCs w:val="18"/>
          <w:rtl/>
        </w:rPr>
        <w:footnoteReference w:id="23"/>
      </w:r>
      <w:r w:rsidR="00CA45BA" w:rsidRPr="008A6C1B">
        <w:rPr>
          <w:rFonts w:hint="cs"/>
          <w:sz w:val="18"/>
          <w:szCs w:val="18"/>
          <w:rtl/>
        </w:rPr>
        <w:t xml:space="preserve">. </w:t>
      </w:r>
      <w:r w:rsidR="00E36567" w:rsidRPr="008A6C1B">
        <w:rPr>
          <w:rFonts w:hint="cs"/>
          <w:sz w:val="18"/>
          <w:szCs w:val="18"/>
          <w:rtl/>
        </w:rPr>
        <w:t>[</w:t>
      </w:r>
      <w:r w:rsidR="00CA45BA" w:rsidRPr="008A6C1B">
        <w:rPr>
          <w:rFonts w:hint="cs"/>
          <w:sz w:val="18"/>
          <w:szCs w:val="18"/>
          <w:rtl/>
        </w:rPr>
        <w:t xml:space="preserve">ואם משוחה בשמן </w:t>
      </w:r>
      <w:r w:rsidR="00CA45BA" w:rsidRPr="008A6C1B">
        <w:rPr>
          <w:sz w:val="18"/>
          <w:szCs w:val="18"/>
          <w:rtl/>
        </w:rPr>
        <w:t>–</w:t>
      </w:r>
      <w:r w:rsidR="00CA45BA" w:rsidRPr="008A6C1B">
        <w:rPr>
          <w:rFonts w:hint="cs"/>
          <w:sz w:val="18"/>
          <w:szCs w:val="18"/>
          <w:rtl/>
        </w:rPr>
        <w:t xml:space="preserve"> נחשב כחוש. ואם בשומן </w:t>
      </w:r>
      <w:r w:rsidR="00CA45BA" w:rsidRPr="008A6C1B">
        <w:rPr>
          <w:sz w:val="18"/>
          <w:szCs w:val="18"/>
          <w:rtl/>
        </w:rPr>
        <w:t>–</w:t>
      </w:r>
      <w:r w:rsidR="00CA45BA" w:rsidRPr="008A6C1B">
        <w:rPr>
          <w:rFonts w:hint="cs"/>
          <w:sz w:val="18"/>
          <w:szCs w:val="18"/>
          <w:rtl/>
        </w:rPr>
        <w:t xml:space="preserve"> נחשב שמן</w:t>
      </w:r>
      <w:r w:rsidR="00E36567" w:rsidRPr="008A6C1B">
        <w:rPr>
          <w:rStyle w:val="a5"/>
          <w:sz w:val="18"/>
          <w:szCs w:val="18"/>
          <w:rtl/>
        </w:rPr>
        <w:footnoteReference w:id="24"/>
      </w:r>
      <w:r w:rsidR="00CA45BA" w:rsidRPr="008A6C1B">
        <w:rPr>
          <w:rFonts w:hint="cs"/>
          <w:sz w:val="18"/>
          <w:szCs w:val="18"/>
          <w:rtl/>
        </w:rPr>
        <w:t>.</w:t>
      </w:r>
      <w:r w:rsidR="009A4957">
        <w:rPr>
          <w:rFonts w:hint="cs"/>
          <w:sz w:val="18"/>
          <w:szCs w:val="18"/>
          <w:rtl/>
        </w:rPr>
        <w:t xml:space="preserve"> ואם נילושה </w:t>
      </w:r>
      <w:r w:rsidR="009A4957">
        <w:rPr>
          <w:sz w:val="18"/>
          <w:szCs w:val="18"/>
          <w:rtl/>
        </w:rPr>
        <w:t>–</w:t>
      </w:r>
      <w:r w:rsidR="009A4957">
        <w:rPr>
          <w:rFonts w:hint="cs"/>
          <w:sz w:val="18"/>
          <w:szCs w:val="18"/>
          <w:rtl/>
        </w:rPr>
        <w:t xml:space="preserve"> אף בשומן נחשב ככחוש</w:t>
      </w:r>
      <w:r w:rsidR="009A4957">
        <w:rPr>
          <w:rStyle w:val="a5"/>
          <w:sz w:val="18"/>
          <w:szCs w:val="18"/>
          <w:rtl/>
        </w:rPr>
        <w:footnoteReference w:id="25"/>
      </w:r>
      <w:r w:rsidR="009A4957">
        <w:rPr>
          <w:rFonts w:hint="cs"/>
          <w:sz w:val="18"/>
          <w:szCs w:val="18"/>
          <w:rtl/>
        </w:rPr>
        <w:t>.</w:t>
      </w:r>
      <w:r w:rsidR="00E36567" w:rsidRPr="008A6C1B">
        <w:rPr>
          <w:rFonts w:hint="cs"/>
          <w:sz w:val="18"/>
          <w:szCs w:val="18"/>
          <w:rtl/>
        </w:rPr>
        <w:t>]</w:t>
      </w:r>
      <w:r w:rsidR="009A4957">
        <w:rPr>
          <w:rFonts w:hint="cs"/>
          <w:b/>
          <w:bCs/>
          <w:sz w:val="18"/>
          <w:szCs w:val="18"/>
          <w:rtl/>
        </w:rPr>
        <w:t xml:space="preserve"> </w:t>
      </w:r>
      <w:r w:rsidR="009A4957">
        <w:rPr>
          <w:rFonts w:hint="cs"/>
          <w:sz w:val="18"/>
          <w:szCs w:val="18"/>
          <w:rtl/>
        </w:rPr>
        <w:t xml:space="preserve">אמנם הבית מאיר והיד יהודה חולקים על היתר זה ומחמירים לכתחילה. </w:t>
      </w:r>
    </w:p>
    <w:p w:rsidR="00CA45BA" w:rsidRPr="009547F0" w:rsidRDefault="00CA45BA" w:rsidP="009547F0">
      <w:pPr>
        <w:jc w:val="both"/>
        <w:rPr>
          <w:sz w:val="18"/>
          <w:szCs w:val="18"/>
          <w:rtl/>
        </w:rPr>
      </w:pPr>
      <w:r w:rsidRPr="008A6C1B">
        <w:rPr>
          <w:rFonts w:hint="cs"/>
          <w:b/>
          <w:bCs/>
          <w:sz w:val="18"/>
          <w:szCs w:val="18"/>
          <w:rtl/>
        </w:rPr>
        <w:t>דם</w:t>
      </w:r>
      <w:r w:rsidR="00FE4AD9">
        <w:rPr>
          <w:rFonts w:hint="cs"/>
          <w:b/>
          <w:bCs/>
          <w:sz w:val="18"/>
          <w:szCs w:val="18"/>
          <w:rtl/>
        </w:rPr>
        <w:t xml:space="preserve">   </w:t>
      </w:r>
      <w:r w:rsidRPr="008A6C1B">
        <w:rPr>
          <w:rFonts w:hint="cs"/>
          <w:sz w:val="18"/>
          <w:szCs w:val="18"/>
          <w:rtl/>
        </w:rPr>
        <w:t xml:space="preserve">חידש </w:t>
      </w:r>
      <w:proofErr w:type="spellStart"/>
      <w:r w:rsidRPr="008A6C1B">
        <w:rPr>
          <w:rFonts w:hint="cs"/>
          <w:sz w:val="18"/>
          <w:szCs w:val="18"/>
          <w:rtl/>
        </w:rPr>
        <w:t>התרוה"ד</w:t>
      </w:r>
      <w:proofErr w:type="spellEnd"/>
      <w:r w:rsidRPr="008A6C1B">
        <w:rPr>
          <w:rFonts w:hint="cs"/>
          <w:sz w:val="18"/>
          <w:szCs w:val="18"/>
          <w:rtl/>
        </w:rPr>
        <w:t xml:space="preserve"> שדם כל כך קלוש הוא, שאף אם הדבר השני שנצלה עמו שמן, אינו מצליח </w:t>
      </w:r>
      <w:r w:rsidR="00106768" w:rsidRPr="008A6C1B">
        <w:rPr>
          <w:rFonts w:hint="cs"/>
          <w:sz w:val="18"/>
          <w:szCs w:val="18"/>
          <w:rtl/>
        </w:rPr>
        <w:t>לפטמו. ונחלקו בדעתו האם היינו</w:t>
      </w:r>
      <w:r w:rsidRPr="008A6C1B">
        <w:rPr>
          <w:rFonts w:hint="cs"/>
          <w:sz w:val="18"/>
          <w:szCs w:val="18"/>
          <w:rtl/>
        </w:rPr>
        <w:t xml:space="preserve"> רק כאשר נמצא הדם בעין לבדו</w:t>
      </w:r>
      <w:r w:rsidR="00E36567" w:rsidRPr="008A6C1B">
        <w:rPr>
          <w:rStyle w:val="a5"/>
          <w:sz w:val="18"/>
          <w:szCs w:val="18"/>
          <w:rtl/>
        </w:rPr>
        <w:footnoteReference w:id="26"/>
      </w:r>
      <w:r w:rsidRPr="008A6C1B">
        <w:rPr>
          <w:rFonts w:hint="cs"/>
          <w:sz w:val="18"/>
          <w:szCs w:val="18"/>
          <w:rtl/>
        </w:rPr>
        <w:t xml:space="preserve">, או </w:t>
      </w:r>
      <w:r w:rsidRPr="008A6C1B">
        <w:rPr>
          <w:rFonts w:hint="cs"/>
          <w:sz w:val="18"/>
          <w:szCs w:val="18"/>
          <w:rtl/>
        </w:rPr>
        <w:t>גם כאשר התערב כבר בחתיכה אחת</w:t>
      </w:r>
      <w:r w:rsidR="00E36567" w:rsidRPr="008A6C1B">
        <w:rPr>
          <w:rFonts w:hint="cs"/>
          <w:sz w:val="18"/>
          <w:szCs w:val="18"/>
          <w:rtl/>
        </w:rPr>
        <w:t xml:space="preserve"> ואסרה</w:t>
      </w:r>
      <w:r w:rsidRPr="008A6C1B">
        <w:rPr>
          <w:rFonts w:hint="cs"/>
          <w:sz w:val="18"/>
          <w:szCs w:val="18"/>
          <w:rtl/>
        </w:rPr>
        <w:t xml:space="preserve">, וכעת דנים האם נאסרת החתיכה </w:t>
      </w:r>
      <w:proofErr w:type="spellStart"/>
      <w:r w:rsidRPr="008A6C1B">
        <w:rPr>
          <w:rFonts w:hint="cs"/>
          <w:sz w:val="18"/>
          <w:szCs w:val="18"/>
          <w:rtl/>
        </w:rPr>
        <w:t>השניה</w:t>
      </w:r>
      <w:proofErr w:type="spellEnd"/>
      <w:r w:rsidR="00E36567" w:rsidRPr="008A6C1B">
        <w:rPr>
          <w:rFonts w:hint="cs"/>
          <w:sz w:val="18"/>
          <w:szCs w:val="18"/>
          <w:rtl/>
        </w:rPr>
        <w:t xml:space="preserve"> שנצלתה עמה</w:t>
      </w:r>
      <w:r w:rsidR="00E36567" w:rsidRPr="008A6C1B">
        <w:rPr>
          <w:rStyle w:val="a5"/>
          <w:sz w:val="18"/>
          <w:szCs w:val="18"/>
          <w:rtl/>
        </w:rPr>
        <w:footnoteReference w:id="27"/>
      </w:r>
      <w:r w:rsidRPr="008A6C1B">
        <w:rPr>
          <w:rFonts w:hint="cs"/>
          <w:sz w:val="18"/>
          <w:szCs w:val="18"/>
          <w:rtl/>
        </w:rPr>
        <w:t>.</w:t>
      </w:r>
      <w:r w:rsidR="00E36567" w:rsidRPr="008A6C1B">
        <w:rPr>
          <w:rFonts w:hint="cs"/>
          <w:sz w:val="18"/>
          <w:szCs w:val="18"/>
          <w:rtl/>
        </w:rPr>
        <w:t xml:space="preserve"> [ולמעשה הב"י חלק עליו</w:t>
      </w:r>
      <w:r w:rsidR="00D061CF" w:rsidRPr="008A6C1B">
        <w:rPr>
          <w:rFonts w:hint="cs"/>
          <w:sz w:val="18"/>
          <w:szCs w:val="18"/>
          <w:rtl/>
        </w:rPr>
        <w:t xml:space="preserve">, וחשש לו </w:t>
      </w:r>
      <w:proofErr w:type="spellStart"/>
      <w:r w:rsidR="00D061CF" w:rsidRPr="008A6C1B">
        <w:rPr>
          <w:rFonts w:hint="cs"/>
          <w:sz w:val="18"/>
          <w:szCs w:val="18"/>
          <w:rtl/>
        </w:rPr>
        <w:t>התו"ח</w:t>
      </w:r>
      <w:proofErr w:type="spellEnd"/>
      <w:r w:rsidR="00D061CF" w:rsidRPr="008A6C1B">
        <w:rPr>
          <w:rFonts w:hint="cs"/>
          <w:sz w:val="18"/>
          <w:szCs w:val="18"/>
          <w:rtl/>
        </w:rPr>
        <w:t xml:space="preserve"> לכתחילה, אך </w:t>
      </w:r>
      <w:proofErr w:type="spellStart"/>
      <w:r w:rsidR="00D061CF" w:rsidRPr="008A6C1B">
        <w:rPr>
          <w:rFonts w:hint="cs"/>
          <w:sz w:val="18"/>
          <w:szCs w:val="18"/>
          <w:rtl/>
        </w:rPr>
        <w:t>הט"ז</w:t>
      </w:r>
      <w:proofErr w:type="spellEnd"/>
      <w:r w:rsidR="00D061CF" w:rsidRPr="008A6C1B">
        <w:rPr>
          <w:rFonts w:hint="cs"/>
          <w:sz w:val="18"/>
          <w:szCs w:val="18"/>
          <w:rtl/>
        </w:rPr>
        <w:t xml:space="preserve"> נראה שנקט את דבריו להלכה, וכן הביאו </w:t>
      </w:r>
      <w:proofErr w:type="spellStart"/>
      <w:r w:rsidR="00D061CF" w:rsidRPr="008A6C1B">
        <w:rPr>
          <w:rFonts w:hint="cs"/>
          <w:sz w:val="18"/>
          <w:szCs w:val="18"/>
          <w:rtl/>
        </w:rPr>
        <w:t>הבה"ט</w:t>
      </w:r>
      <w:proofErr w:type="spellEnd"/>
      <w:r w:rsidR="00D061CF" w:rsidRPr="008A6C1B">
        <w:rPr>
          <w:rFonts w:hint="cs"/>
          <w:sz w:val="18"/>
          <w:szCs w:val="18"/>
          <w:rtl/>
        </w:rPr>
        <w:t xml:space="preserve"> </w:t>
      </w:r>
      <w:proofErr w:type="spellStart"/>
      <w:r w:rsidR="00D061CF" w:rsidRPr="008A6C1B">
        <w:rPr>
          <w:rFonts w:hint="cs"/>
          <w:sz w:val="18"/>
          <w:szCs w:val="18"/>
          <w:rtl/>
        </w:rPr>
        <w:t>בסתמא</w:t>
      </w:r>
      <w:proofErr w:type="spellEnd"/>
      <w:r w:rsidR="00E36567" w:rsidRPr="008A6C1B">
        <w:rPr>
          <w:rFonts w:hint="cs"/>
          <w:sz w:val="18"/>
          <w:szCs w:val="18"/>
          <w:rtl/>
        </w:rPr>
        <w:t>.]</w:t>
      </w:r>
    </w:p>
    <w:p w:rsidR="00B230DE" w:rsidRPr="00FE4AD9" w:rsidRDefault="00B230DE" w:rsidP="00FE4AD9">
      <w:pPr>
        <w:jc w:val="both"/>
        <w:rPr>
          <w:b/>
          <w:bCs/>
          <w:sz w:val="18"/>
          <w:szCs w:val="18"/>
          <w:rtl/>
        </w:rPr>
      </w:pPr>
      <w:r w:rsidRPr="008A6C1B">
        <w:rPr>
          <w:rFonts w:hint="cs"/>
          <w:b/>
          <w:bCs/>
          <w:sz w:val="18"/>
          <w:szCs w:val="18"/>
          <w:rtl/>
        </w:rPr>
        <w:t>תנור גדול ופתוח</w:t>
      </w:r>
      <w:r w:rsidR="00FE4AD9">
        <w:rPr>
          <w:rFonts w:hint="cs"/>
          <w:b/>
          <w:bCs/>
          <w:sz w:val="18"/>
          <w:szCs w:val="18"/>
          <w:rtl/>
        </w:rPr>
        <w:t xml:space="preserve"> </w:t>
      </w:r>
      <w:r w:rsidR="00FE4AD9">
        <w:rPr>
          <w:rFonts w:hint="cs"/>
          <w:sz w:val="18"/>
          <w:szCs w:val="18"/>
          <w:rtl/>
        </w:rPr>
        <w:t xml:space="preserve">    </w:t>
      </w:r>
      <w:r w:rsidRPr="008A6C1B">
        <w:rPr>
          <w:rFonts w:hint="cs"/>
          <w:sz w:val="18"/>
          <w:szCs w:val="18"/>
          <w:rtl/>
        </w:rPr>
        <w:t>ראה להלן.</w:t>
      </w:r>
    </w:p>
    <w:p w:rsidR="000043AF" w:rsidRPr="00FE4AD9" w:rsidRDefault="000043AF" w:rsidP="00FE4AD9">
      <w:pPr>
        <w:jc w:val="both"/>
        <w:rPr>
          <w:b/>
          <w:bCs/>
          <w:sz w:val="18"/>
          <w:szCs w:val="18"/>
          <w:rtl/>
        </w:rPr>
      </w:pPr>
      <w:r w:rsidRPr="008A6C1B">
        <w:rPr>
          <w:rFonts w:hint="cs"/>
          <w:b/>
          <w:bCs/>
          <w:sz w:val="18"/>
          <w:szCs w:val="18"/>
          <w:rtl/>
        </w:rPr>
        <w:t>איסורים דרבנן</w:t>
      </w:r>
      <w:r w:rsidR="00FE4AD9">
        <w:rPr>
          <w:rFonts w:hint="cs"/>
          <w:b/>
          <w:bCs/>
          <w:sz w:val="18"/>
          <w:szCs w:val="18"/>
          <w:rtl/>
        </w:rPr>
        <w:t xml:space="preserve">       </w:t>
      </w:r>
      <w:r w:rsidR="00E36567" w:rsidRPr="008A6C1B">
        <w:rPr>
          <w:rFonts w:hint="cs"/>
          <w:sz w:val="18"/>
          <w:szCs w:val="18"/>
          <w:rtl/>
        </w:rPr>
        <w:t xml:space="preserve">עי' </w:t>
      </w:r>
      <w:proofErr w:type="spellStart"/>
      <w:r w:rsidRPr="008A6C1B">
        <w:rPr>
          <w:rFonts w:hint="cs"/>
          <w:sz w:val="18"/>
          <w:szCs w:val="18"/>
          <w:rtl/>
        </w:rPr>
        <w:t>פמ"ג</w:t>
      </w:r>
      <w:proofErr w:type="spellEnd"/>
      <w:r w:rsidRPr="008A6C1B">
        <w:rPr>
          <w:rFonts w:hint="cs"/>
          <w:sz w:val="18"/>
          <w:szCs w:val="18"/>
          <w:rtl/>
        </w:rPr>
        <w:t xml:space="preserve"> </w:t>
      </w:r>
      <w:proofErr w:type="spellStart"/>
      <w:r w:rsidR="00E36567" w:rsidRPr="008A6C1B">
        <w:rPr>
          <w:rFonts w:hint="cs"/>
          <w:sz w:val="18"/>
          <w:szCs w:val="18"/>
          <w:rtl/>
        </w:rPr>
        <w:t>משב"ז</w:t>
      </w:r>
      <w:proofErr w:type="spellEnd"/>
      <w:r w:rsidR="00E36567" w:rsidRPr="008A6C1B">
        <w:rPr>
          <w:rFonts w:hint="cs"/>
          <w:sz w:val="18"/>
          <w:szCs w:val="18"/>
          <w:rtl/>
        </w:rPr>
        <w:t xml:space="preserve"> </w:t>
      </w:r>
      <w:proofErr w:type="spellStart"/>
      <w:r w:rsidR="00E36567" w:rsidRPr="008A6C1B">
        <w:rPr>
          <w:rFonts w:hint="cs"/>
          <w:sz w:val="18"/>
          <w:szCs w:val="18"/>
          <w:rtl/>
        </w:rPr>
        <w:t>סק"א</w:t>
      </w:r>
      <w:proofErr w:type="spellEnd"/>
      <w:r w:rsidR="00D061CF" w:rsidRPr="008A6C1B">
        <w:rPr>
          <w:rFonts w:hint="cs"/>
          <w:sz w:val="18"/>
          <w:szCs w:val="18"/>
          <w:rtl/>
        </w:rPr>
        <w:t>,</w:t>
      </w:r>
      <w:r w:rsidR="00E36567" w:rsidRPr="008A6C1B">
        <w:rPr>
          <w:rFonts w:hint="cs"/>
          <w:sz w:val="18"/>
          <w:szCs w:val="18"/>
          <w:rtl/>
        </w:rPr>
        <w:t xml:space="preserve"> ד"ה </w:t>
      </w:r>
      <w:r w:rsidR="00D061CF" w:rsidRPr="008A6C1B">
        <w:rPr>
          <w:rFonts w:hint="cs"/>
          <w:sz w:val="18"/>
          <w:szCs w:val="18"/>
          <w:rtl/>
        </w:rPr>
        <w:t>"</w:t>
      </w:r>
      <w:r w:rsidR="00E36567" w:rsidRPr="008A6C1B">
        <w:rPr>
          <w:rFonts w:hint="cs"/>
          <w:sz w:val="18"/>
          <w:szCs w:val="18"/>
          <w:rtl/>
        </w:rPr>
        <w:t xml:space="preserve">כתב </w:t>
      </w:r>
      <w:proofErr w:type="spellStart"/>
      <w:r w:rsidR="00E36567" w:rsidRPr="008A6C1B">
        <w:rPr>
          <w:rFonts w:hint="cs"/>
          <w:sz w:val="18"/>
          <w:szCs w:val="18"/>
          <w:rtl/>
        </w:rPr>
        <w:t>כה"ג</w:t>
      </w:r>
      <w:proofErr w:type="spellEnd"/>
      <w:r w:rsidR="00D061CF" w:rsidRPr="008A6C1B">
        <w:rPr>
          <w:rFonts w:hint="cs"/>
          <w:sz w:val="18"/>
          <w:szCs w:val="18"/>
          <w:rtl/>
        </w:rPr>
        <w:t>"</w:t>
      </w:r>
      <w:r w:rsidR="00E36567" w:rsidRPr="008A6C1B">
        <w:rPr>
          <w:rFonts w:hint="cs"/>
          <w:sz w:val="18"/>
          <w:szCs w:val="18"/>
          <w:rtl/>
        </w:rPr>
        <w:t xml:space="preserve"> (ומסקנתו שרב סובר </w:t>
      </w:r>
      <w:proofErr w:type="spellStart"/>
      <w:r w:rsidR="00E36567" w:rsidRPr="008A6C1B">
        <w:rPr>
          <w:rFonts w:hint="cs"/>
          <w:sz w:val="18"/>
          <w:szCs w:val="18"/>
          <w:rtl/>
        </w:rPr>
        <w:t>ריחא</w:t>
      </w:r>
      <w:proofErr w:type="spellEnd"/>
      <w:r w:rsidR="00E36567" w:rsidRPr="008A6C1B">
        <w:rPr>
          <w:rFonts w:hint="cs"/>
          <w:sz w:val="18"/>
          <w:szCs w:val="18"/>
          <w:rtl/>
        </w:rPr>
        <w:t xml:space="preserve"> מילתא אף באיסורים דרבנן, אמנם לגבי האיסור לכתחילה אליבא דלוי </w:t>
      </w:r>
      <w:r w:rsidR="00D061CF" w:rsidRPr="008A6C1B">
        <w:rPr>
          <w:rFonts w:hint="cs"/>
          <w:sz w:val="18"/>
          <w:szCs w:val="18"/>
          <w:rtl/>
        </w:rPr>
        <w:t>כתב ש</w:t>
      </w:r>
      <w:r w:rsidR="00E36567" w:rsidRPr="008A6C1B">
        <w:rPr>
          <w:rFonts w:hint="cs"/>
          <w:sz w:val="18"/>
          <w:szCs w:val="18"/>
          <w:rtl/>
        </w:rPr>
        <w:t>יש לעיין).</w:t>
      </w:r>
    </w:p>
    <w:p w:rsidR="005C04CE" w:rsidRPr="00FE4AD9" w:rsidRDefault="00365BE6" w:rsidP="00FE4AD9">
      <w:pPr>
        <w:jc w:val="both"/>
        <w:rPr>
          <w:b/>
          <w:bCs/>
          <w:sz w:val="18"/>
          <w:szCs w:val="18"/>
          <w:rtl/>
        </w:rPr>
      </w:pPr>
      <w:r w:rsidRPr="008A6C1B">
        <w:rPr>
          <w:rFonts w:hint="cs"/>
          <w:b/>
          <w:bCs/>
          <w:sz w:val="18"/>
          <w:szCs w:val="18"/>
          <w:rtl/>
        </w:rPr>
        <w:t>כיסוי</w:t>
      </w:r>
      <w:r w:rsidR="00FE4AD9">
        <w:rPr>
          <w:rFonts w:hint="cs"/>
          <w:b/>
          <w:bCs/>
          <w:sz w:val="18"/>
          <w:szCs w:val="18"/>
          <w:rtl/>
        </w:rPr>
        <w:t xml:space="preserve">       </w:t>
      </w:r>
      <w:r w:rsidR="005C04CE" w:rsidRPr="008A6C1B">
        <w:rPr>
          <w:rFonts w:hint="cs"/>
          <w:sz w:val="18"/>
          <w:szCs w:val="18"/>
          <w:rtl/>
        </w:rPr>
        <w:t>כשאחד מהם מכוסה, בין בקערה ובין בבצק</w:t>
      </w:r>
      <w:r w:rsidR="00D2247D" w:rsidRPr="008A6C1B">
        <w:rPr>
          <w:rStyle w:val="a5"/>
          <w:sz w:val="18"/>
          <w:szCs w:val="18"/>
          <w:rtl/>
        </w:rPr>
        <w:footnoteReference w:id="28"/>
      </w:r>
      <w:r w:rsidR="005C04CE" w:rsidRPr="008A6C1B">
        <w:rPr>
          <w:rFonts w:hint="cs"/>
          <w:sz w:val="18"/>
          <w:szCs w:val="18"/>
          <w:rtl/>
        </w:rPr>
        <w:t>.</w:t>
      </w:r>
    </w:p>
    <w:p w:rsidR="00BB7C34" w:rsidRPr="00FE4AD9" w:rsidRDefault="00365BE6" w:rsidP="00FE4AD9">
      <w:pPr>
        <w:jc w:val="both"/>
        <w:rPr>
          <w:b/>
          <w:bCs/>
          <w:sz w:val="18"/>
          <w:szCs w:val="18"/>
          <w:rtl/>
        </w:rPr>
      </w:pPr>
      <w:r w:rsidRPr="008A6C1B">
        <w:rPr>
          <w:rFonts w:hint="cs"/>
          <w:b/>
          <w:bCs/>
          <w:sz w:val="18"/>
          <w:szCs w:val="18"/>
          <w:rtl/>
        </w:rPr>
        <w:t>תבשיל</w:t>
      </w:r>
      <w:r w:rsidR="00FE4AD9">
        <w:rPr>
          <w:rFonts w:hint="cs"/>
          <w:b/>
          <w:bCs/>
          <w:sz w:val="18"/>
          <w:szCs w:val="18"/>
          <w:rtl/>
        </w:rPr>
        <w:t xml:space="preserve">       </w:t>
      </w:r>
      <w:r w:rsidR="005C04CE" w:rsidRPr="008A6C1B">
        <w:rPr>
          <w:rFonts w:hint="cs"/>
          <w:sz w:val="18"/>
          <w:szCs w:val="18"/>
          <w:rtl/>
        </w:rPr>
        <w:t xml:space="preserve">בתבשילים לא </w:t>
      </w:r>
      <w:proofErr w:type="spellStart"/>
      <w:r w:rsidR="005C04CE" w:rsidRPr="008A6C1B">
        <w:rPr>
          <w:rFonts w:hint="cs"/>
          <w:sz w:val="18"/>
          <w:szCs w:val="18"/>
          <w:rtl/>
        </w:rPr>
        <w:t>אמרינן</w:t>
      </w:r>
      <w:proofErr w:type="spellEnd"/>
      <w:r w:rsidR="005C04CE" w:rsidRPr="008A6C1B">
        <w:rPr>
          <w:rFonts w:hint="cs"/>
          <w:sz w:val="18"/>
          <w:szCs w:val="18"/>
          <w:rtl/>
        </w:rPr>
        <w:t xml:space="preserve"> </w:t>
      </w:r>
      <w:proofErr w:type="spellStart"/>
      <w:r w:rsidR="005C04CE" w:rsidRPr="008A6C1B">
        <w:rPr>
          <w:rFonts w:hint="cs"/>
          <w:sz w:val="18"/>
          <w:szCs w:val="18"/>
          <w:rtl/>
        </w:rPr>
        <w:t>ריחא</w:t>
      </w:r>
      <w:proofErr w:type="spellEnd"/>
      <w:r w:rsidR="005C04CE" w:rsidRPr="008A6C1B">
        <w:rPr>
          <w:rFonts w:hint="cs"/>
          <w:sz w:val="18"/>
          <w:szCs w:val="18"/>
          <w:rtl/>
        </w:rPr>
        <w:t xml:space="preserve"> מילתא</w:t>
      </w:r>
      <w:r w:rsidR="005C04CE" w:rsidRPr="008A6C1B">
        <w:rPr>
          <w:rStyle w:val="a5"/>
          <w:sz w:val="18"/>
          <w:szCs w:val="18"/>
          <w:rtl/>
        </w:rPr>
        <w:footnoteReference w:id="29"/>
      </w:r>
      <w:r w:rsidR="005C04CE" w:rsidRPr="008A6C1B">
        <w:rPr>
          <w:rFonts w:hint="cs"/>
          <w:sz w:val="18"/>
          <w:szCs w:val="18"/>
          <w:rtl/>
        </w:rPr>
        <w:t>.</w:t>
      </w:r>
    </w:p>
    <w:p w:rsidR="00A360DE" w:rsidRDefault="00B230DE" w:rsidP="00A360DE">
      <w:pPr>
        <w:jc w:val="center"/>
        <w:rPr>
          <w:b/>
          <w:bCs/>
          <w:sz w:val="16"/>
          <w:szCs w:val="16"/>
          <w:rtl/>
        </w:rPr>
      </w:pPr>
      <w:r w:rsidRPr="008A6C1B">
        <w:rPr>
          <w:rFonts w:hint="cs"/>
          <w:b/>
          <w:bCs/>
          <w:sz w:val="18"/>
          <w:szCs w:val="18"/>
          <w:rtl/>
        </w:rPr>
        <w:t xml:space="preserve">אופנים </w:t>
      </w:r>
      <w:proofErr w:type="spellStart"/>
      <w:r w:rsidRPr="008A6C1B">
        <w:rPr>
          <w:rFonts w:hint="cs"/>
          <w:b/>
          <w:bCs/>
          <w:sz w:val="18"/>
          <w:szCs w:val="18"/>
          <w:rtl/>
        </w:rPr>
        <w:t>שלכ"ע</w:t>
      </w:r>
      <w:proofErr w:type="spellEnd"/>
      <w:r w:rsidRPr="008A6C1B">
        <w:rPr>
          <w:rFonts w:hint="cs"/>
          <w:b/>
          <w:bCs/>
          <w:sz w:val="18"/>
          <w:szCs w:val="18"/>
          <w:rtl/>
        </w:rPr>
        <w:t xml:space="preserve"> </w:t>
      </w:r>
      <w:proofErr w:type="spellStart"/>
      <w:r w:rsidRPr="008A6C1B">
        <w:rPr>
          <w:rFonts w:hint="cs"/>
          <w:b/>
          <w:bCs/>
          <w:sz w:val="18"/>
          <w:szCs w:val="18"/>
          <w:rtl/>
        </w:rPr>
        <w:t>ריחא</w:t>
      </w:r>
      <w:proofErr w:type="spellEnd"/>
      <w:r w:rsidRPr="008A6C1B">
        <w:rPr>
          <w:rFonts w:hint="cs"/>
          <w:b/>
          <w:bCs/>
          <w:sz w:val="18"/>
          <w:szCs w:val="18"/>
          <w:rtl/>
        </w:rPr>
        <w:t xml:space="preserve"> מ</w:t>
      </w:r>
      <w:r w:rsidR="00D854B6">
        <w:rPr>
          <w:rFonts w:hint="cs"/>
          <w:b/>
          <w:bCs/>
          <w:sz w:val="18"/>
          <w:szCs w:val="18"/>
          <w:rtl/>
        </w:rPr>
        <w:t>ילתא</w:t>
      </w:r>
      <w:r w:rsidR="00A360DE">
        <w:rPr>
          <w:rFonts w:hint="cs"/>
          <w:b/>
          <w:bCs/>
          <w:sz w:val="18"/>
          <w:szCs w:val="18"/>
          <w:rtl/>
        </w:rPr>
        <w:t xml:space="preserve"> </w:t>
      </w:r>
      <w:r w:rsidR="00A360DE">
        <w:rPr>
          <w:rFonts w:hint="cs"/>
          <w:b/>
          <w:bCs/>
          <w:sz w:val="16"/>
          <w:szCs w:val="16"/>
          <w:rtl/>
        </w:rPr>
        <w:t>(</w:t>
      </w:r>
      <w:proofErr w:type="spellStart"/>
      <w:r w:rsidR="00A360DE">
        <w:rPr>
          <w:rFonts w:hint="cs"/>
          <w:b/>
          <w:bCs/>
          <w:sz w:val="16"/>
          <w:szCs w:val="16"/>
          <w:rtl/>
        </w:rPr>
        <w:t>ונפ"מ</w:t>
      </w:r>
      <w:proofErr w:type="spellEnd"/>
      <w:r w:rsidR="00A360DE">
        <w:rPr>
          <w:rFonts w:hint="cs"/>
          <w:b/>
          <w:bCs/>
          <w:sz w:val="16"/>
          <w:szCs w:val="16"/>
          <w:rtl/>
        </w:rPr>
        <w:t xml:space="preserve"> לדידן שאסור </w:t>
      </w:r>
      <w:r w:rsidR="00D854B6" w:rsidRPr="00A360DE">
        <w:rPr>
          <w:rFonts w:hint="cs"/>
          <w:b/>
          <w:bCs/>
          <w:sz w:val="16"/>
          <w:szCs w:val="16"/>
          <w:rtl/>
        </w:rPr>
        <w:t>בדיעב</w:t>
      </w:r>
      <w:r w:rsidRPr="00A360DE">
        <w:rPr>
          <w:rFonts w:hint="cs"/>
          <w:b/>
          <w:bCs/>
          <w:sz w:val="16"/>
          <w:szCs w:val="16"/>
          <w:rtl/>
        </w:rPr>
        <w:t>ד</w:t>
      </w:r>
      <w:r w:rsidR="00D854B6" w:rsidRPr="00A360DE">
        <w:rPr>
          <w:rFonts w:hint="cs"/>
          <w:b/>
          <w:bCs/>
          <w:sz w:val="16"/>
          <w:szCs w:val="16"/>
          <w:rtl/>
        </w:rPr>
        <w:t>)</w:t>
      </w:r>
    </w:p>
    <w:p w:rsidR="00CA45BA" w:rsidRPr="00A360DE" w:rsidRDefault="00CA45BA" w:rsidP="00A360DE">
      <w:pPr>
        <w:jc w:val="center"/>
        <w:rPr>
          <w:b/>
          <w:bCs/>
          <w:sz w:val="16"/>
          <w:szCs w:val="16"/>
          <w:rtl/>
        </w:rPr>
      </w:pPr>
      <w:r w:rsidRPr="008A6C1B">
        <w:rPr>
          <w:rFonts w:hint="cs"/>
          <w:b/>
          <w:bCs/>
          <w:sz w:val="18"/>
          <w:szCs w:val="18"/>
          <w:rtl/>
        </w:rPr>
        <w:t>איסורי משהו</w:t>
      </w:r>
      <w:r w:rsidR="00FE4AD9">
        <w:rPr>
          <w:rFonts w:hint="cs"/>
          <w:b/>
          <w:bCs/>
          <w:sz w:val="18"/>
          <w:szCs w:val="18"/>
          <w:rtl/>
        </w:rPr>
        <w:t xml:space="preserve">          </w:t>
      </w:r>
      <w:r w:rsidRPr="008A6C1B">
        <w:rPr>
          <w:rFonts w:hint="cs"/>
          <w:sz w:val="18"/>
          <w:szCs w:val="18"/>
          <w:rtl/>
        </w:rPr>
        <w:t xml:space="preserve">נחלקו הראשונים האם </w:t>
      </w:r>
      <w:proofErr w:type="spellStart"/>
      <w:r w:rsidRPr="008A6C1B">
        <w:rPr>
          <w:rFonts w:hint="cs"/>
          <w:sz w:val="18"/>
          <w:szCs w:val="18"/>
          <w:rtl/>
        </w:rPr>
        <w:t>ריחא</w:t>
      </w:r>
      <w:proofErr w:type="spellEnd"/>
      <w:r w:rsidRPr="008A6C1B">
        <w:rPr>
          <w:rFonts w:hint="cs"/>
          <w:sz w:val="18"/>
          <w:szCs w:val="18"/>
          <w:rtl/>
        </w:rPr>
        <w:t xml:space="preserve"> לאו מילתא נאמר גם בדברים האוסרים תערובתם במשהו</w:t>
      </w:r>
      <w:r w:rsidR="009A5A6E" w:rsidRPr="008A6C1B">
        <w:rPr>
          <w:rStyle w:val="a5"/>
          <w:sz w:val="18"/>
          <w:szCs w:val="18"/>
          <w:rtl/>
        </w:rPr>
        <w:footnoteReference w:id="30"/>
      </w:r>
      <w:r w:rsidRPr="008A6C1B">
        <w:rPr>
          <w:rFonts w:hint="cs"/>
          <w:sz w:val="18"/>
          <w:szCs w:val="18"/>
          <w:rtl/>
        </w:rPr>
        <w:t>, ופס</w:t>
      </w:r>
      <w:r w:rsidR="00B230DE" w:rsidRPr="008A6C1B">
        <w:rPr>
          <w:rFonts w:hint="cs"/>
          <w:sz w:val="18"/>
          <w:szCs w:val="18"/>
          <w:rtl/>
        </w:rPr>
        <w:t>ק</w:t>
      </w:r>
      <w:r w:rsidR="00365BE6" w:rsidRPr="008A6C1B">
        <w:rPr>
          <w:rFonts w:hint="cs"/>
          <w:sz w:val="18"/>
          <w:szCs w:val="18"/>
          <w:rtl/>
        </w:rPr>
        <w:t xml:space="preserve"> </w:t>
      </w:r>
      <w:proofErr w:type="spellStart"/>
      <w:r w:rsidR="00365BE6" w:rsidRPr="008A6C1B">
        <w:rPr>
          <w:rFonts w:hint="cs"/>
          <w:sz w:val="18"/>
          <w:szCs w:val="18"/>
          <w:rtl/>
        </w:rPr>
        <w:t>הרמ"א</w:t>
      </w:r>
      <w:proofErr w:type="spellEnd"/>
      <w:r w:rsidR="00365BE6" w:rsidRPr="008A6C1B">
        <w:rPr>
          <w:rFonts w:hint="cs"/>
          <w:sz w:val="18"/>
          <w:szCs w:val="18"/>
          <w:rtl/>
        </w:rPr>
        <w:t xml:space="preserve"> להקל </w:t>
      </w:r>
      <w:r w:rsidR="005C04CE" w:rsidRPr="008A6C1B">
        <w:rPr>
          <w:rFonts w:hint="cs"/>
          <w:sz w:val="18"/>
          <w:szCs w:val="18"/>
          <w:rtl/>
        </w:rPr>
        <w:t xml:space="preserve">רק </w:t>
      </w:r>
      <w:r w:rsidR="00365BE6" w:rsidRPr="008A6C1B">
        <w:rPr>
          <w:rFonts w:hint="cs"/>
          <w:sz w:val="18"/>
          <w:szCs w:val="18"/>
          <w:rtl/>
        </w:rPr>
        <w:t>במקום הפסד</w:t>
      </w:r>
      <w:r w:rsidR="00365BE6" w:rsidRPr="008A6C1B">
        <w:rPr>
          <w:rStyle w:val="a5"/>
          <w:sz w:val="18"/>
          <w:szCs w:val="18"/>
          <w:rtl/>
        </w:rPr>
        <w:footnoteReference w:id="31"/>
      </w:r>
      <w:r w:rsidR="00365BE6" w:rsidRPr="008A6C1B">
        <w:rPr>
          <w:rFonts w:hint="cs"/>
          <w:sz w:val="18"/>
          <w:szCs w:val="18"/>
          <w:rtl/>
        </w:rPr>
        <w:t>.</w:t>
      </w:r>
    </w:p>
    <w:p w:rsidR="00FE4AD9" w:rsidRDefault="00B230DE" w:rsidP="003D0FF0">
      <w:pPr>
        <w:jc w:val="both"/>
        <w:rPr>
          <w:b/>
          <w:bCs/>
          <w:sz w:val="18"/>
          <w:szCs w:val="18"/>
          <w:rtl/>
        </w:rPr>
      </w:pPr>
      <w:r w:rsidRPr="008A6C1B">
        <w:rPr>
          <w:rFonts w:hint="cs"/>
          <w:b/>
          <w:bCs/>
          <w:sz w:val="18"/>
          <w:szCs w:val="18"/>
          <w:rtl/>
        </w:rPr>
        <w:t>דבר חריף</w:t>
      </w:r>
      <w:r w:rsidR="00FE4AD9">
        <w:rPr>
          <w:rFonts w:hint="cs"/>
          <w:b/>
          <w:bCs/>
          <w:sz w:val="18"/>
          <w:szCs w:val="18"/>
          <w:rtl/>
        </w:rPr>
        <w:t xml:space="preserve">       </w:t>
      </w:r>
      <w:r w:rsidR="005C04CE" w:rsidRPr="008A6C1B">
        <w:rPr>
          <w:rFonts w:hint="cs"/>
          <w:sz w:val="18"/>
          <w:szCs w:val="18"/>
          <w:rtl/>
        </w:rPr>
        <w:t>בין אם האיסור ובין אם ההיתר</w:t>
      </w:r>
      <w:r w:rsidR="00BB7C34" w:rsidRPr="008A6C1B">
        <w:rPr>
          <w:rFonts w:hint="cs"/>
          <w:sz w:val="18"/>
          <w:szCs w:val="18"/>
          <w:rtl/>
        </w:rPr>
        <w:t>, אוסר</w:t>
      </w:r>
      <w:r w:rsidR="00BB7C34" w:rsidRPr="008A6C1B">
        <w:rPr>
          <w:rStyle w:val="a5"/>
          <w:sz w:val="18"/>
          <w:szCs w:val="18"/>
          <w:rtl/>
        </w:rPr>
        <w:footnoteReference w:id="32"/>
      </w:r>
      <w:r w:rsidR="00BB7C34" w:rsidRPr="008A6C1B">
        <w:rPr>
          <w:rFonts w:hint="cs"/>
          <w:sz w:val="18"/>
          <w:szCs w:val="18"/>
          <w:rtl/>
        </w:rPr>
        <w:t>.</w:t>
      </w:r>
    </w:p>
    <w:p w:rsidR="00976BE3" w:rsidRPr="008A6C1B" w:rsidRDefault="00976BE3" w:rsidP="00FE4AD9">
      <w:pPr>
        <w:jc w:val="center"/>
        <w:rPr>
          <w:b/>
          <w:bCs/>
          <w:sz w:val="18"/>
          <w:szCs w:val="18"/>
          <w:rtl/>
        </w:rPr>
      </w:pPr>
      <w:r w:rsidRPr="008A6C1B">
        <w:rPr>
          <w:rFonts w:hint="cs"/>
          <w:b/>
          <w:bCs/>
          <w:sz w:val="18"/>
          <w:szCs w:val="18"/>
          <w:rtl/>
        </w:rPr>
        <w:t>חילוקי תנורים ומקרים</w:t>
      </w:r>
    </w:p>
    <w:p w:rsidR="00976BE3" w:rsidRPr="008A6C1B" w:rsidRDefault="00976BE3" w:rsidP="00D854B6">
      <w:pPr>
        <w:jc w:val="both"/>
        <w:rPr>
          <w:sz w:val="18"/>
          <w:szCs w:val="18"/>
          <w:rtl/>
        </w:rPr>
      </w:pPr>
      <w:r w:rsidRPr="008A6C1B">
        <w:rPr>
          <w:rFonts w:hint="cs"/>
          <w:sz w:val="18"/>
          <w:szCs w:val="18"/>
          <w:rtl/>
        </w:rPr>
        <w:t>חדשו הראשונים</w:t>
      </w:r>
      <w:r w:rsidR="00DA7E4B" w:rsidRPr="008A6C1B">
        <w:rPr>
          <w:rFonts w:hint="cs"/>
          <w:sz w:val="18"/>
          <w:szCs w:val="18"/>
          <w:rtl/>
        </w:rPr>
        <w:t xml:space="preserve"> כמה חילוקי מקרים, מהם </w:t>
      </w:r>
      <w:r w:rsidR="00DA7E4B" w:rsidRPr="008A6C1B">
        <w:rPr>
          <w:sz w:val="18"/>
          <w:szCs w:val="18"/>
          <w:rtl/>
        </w:rPr>
        <w:t>–</w:t>
      </w:r>
      <w:r w:rsidR="00DA7E4B" w:rsidRPr="008A6C1B">
        <w:rPr>
          <w:rFonts w:hint="cs"/>
          <w:sz w:val="18"/>
          <w:szCs w:val="18"/>
          <w:rtl/>
        </w:rPr>
        <w:t xml:space="preserve"> חמורים יותר מהמקרה עליו דברה </w:t>
      </w:r>
      <w:proofErr w:type="spellStart"/>
      <w:r w:rsidR="00DA7E4B" w:rsidRPr="008A6C1B">
        <w:rPr>
          <w:rFonts w:hint="cs"/>
          <w:sz w:val="18"/>
          <w:szCs w:val="18"/>
          <w:rtl/>
        </w:rPr>
        <w:t>הגמ</w:t>
      </w:r>
      <w:proofErr w:type="spellEnd"/>
      <w:r w:rsidR="00DA7E4B" w:rsidRPr="008A6C1B">
        <w:rPr>
          <w:rFonts w:hint="cs"/>
          <w:sz w:val="18"/>
          <w:szCs w:val="18"/>
          <w:rtl/>
        </w:rPr>
        <w:t xml:space="preserve">', ומהם </w:t>
      </w:r>
      <w:r w:rsidR="00DA7E4B" w:rsidRPr="008A6C1B">
        <w:rPr>
          <w:sz w:val="18"/>
          <w:szCs w:val="18"/>
          <w:rtl/>
        </w:rPr>
        <w:t>–</w:t>
      </w:r>
      <w:r w:rsidR="00DA7E4B" w:rsidRPr="008A6C1B">
        <w:rPr>
          <w:rFonts w:hint="cs"/>
          <w:sz w:val="18"/>
          <w:szCs w:val="18"/>
          <w:rtl/>
        </w:rPr>
        <w:t xml:space="preserve"> קלים יותר.</w:t>
      </w:r>
    </w:p>
    <w:p w:rsidR="00DA7E4B" w:rsidRPr="008A6C1B" w:rsidRDefault="00DA7E4B" w:rsidP="00D854B6">
      <w:pPr>
        <w:jc w:val="both"/>
        <w:rPr>
          <w:sz w:val="18"/>
          <w:szCs w:val="18"/>
          <w:rtl/>
        </w:rPr>
      </w:pPr>
      <w:r w:rsidRPr="008A6C1B">
        <w:rPr>
          <w:rFonts w:hint="cs"/>
          <w:sz w:val="18"/>
          <w:szCs w:val="18"/>
          <w:rtl/>
        </w:rPr>
        <w:t>והתבאר שלגבי מבנה התנור ישנן כמה אבחנות: א, גדול או קטן. ב, סתום לגמרי, סתום עם פתח ליציאת העשן, פתוח לגמרי מלמעלה או מהצד.</w:t>
      </w:r>
    </w:p>
    <w:p w:rsidR="00C7716B" w:rsidRPr="008A6C1B" w:rsidRDefault="00C7716B" w:rsidP="00D854B6">
      <w:pPr>
        <w:jc w:val="both"/>
        <w:rPr>
          <w:sz w:val="18"/>
          <w:szCs w:val="18"/>
          <w:rtl/>
        </w:rPr>
      </w:pPr>
      <w:r w:rsidRPr="008A6C1B">
        <w:rPr>
          <w:rFonts w:hint="cs"/>
          <w:sz w:val="18"/>
          <w:szCs w:val="18"/>
          <w:rtl/>
        </w:rPr>
        <w:t xml:space="preserve">ופסקו </w:t>
      </w:r>
      <w:proofErr w:type="spellStart"/>
      <w:r w:rsidRPr="008A6C1B">
        <w:rPr>
          <w:rFonts w:hint="cs"/>
          <w:sz w:val="18"/>
          <w:szCs w:val="18"/>
          <w:rtl/>
        </w:rPr>
        <w:t>השו"ע</w:t>
      </w:r>
      <w:proofErr w:type="spellEnd"/>
      <w:r w:rsidRPr="008A6C1B">
        <w:rPr>
          <w:rFonts w:hint="cs"/>
          <w:sz w:val="18"/>
          <w:szCs w:val="18"/>
          <w:rtl/>
        </w:rPr>
        <w:t xml:space="preserve"> </w:t>
      </w:r>
      <w:proofErr w:type="spellStart"/>
      <w:r w:rsidRPr="008A6C1B">
        <w:rPr>
          <w:rFonts w:hint="cs"/>
          <w:sz w:val="18"/>
          <w:szCs w:val="18"/>
          <w:rtl/>
        </w:rPr>
        <w:t>והרמ"א</w:t>
      </w:r>
      <w:proofErr w:type="spellEnd"/>
      <w:r w:rsidRPr="008A6C1B">
        <w:rPr>
          <w:rFonts w:hint="cs"/>
          <w:sz w:val="18"/>
          <w:szCs w:val="18"/>
          <w:rtl/>
        </w:rPr>
        <w:t xml:space="preserve"> שכאשר יש </w:t>
      </w:r>
      <w:r w:rsidRPr="008A6C1B">
        <w:rPr>
          <w:rFonts w:hint="cs"/>
          <w:b/>
          <w:bCs/>
          <w:sz w:val="18"/>
          <w:szCs w:val="18"/>
          <w:rtl/>
        </w:rPr>
        <w:t xml:space="preserve">תרתי </w:t>
      </w:r>
      <w:proofErr w:type="spellStart"/>
      <w:r w:rsidRPr="008A6C1B">
        <w:rPr>
          <w:rFonts w:hint="cs"/>
          <w:b/>
          <w:bCs/>
          <w:sz w:val="18"/>
          <w:szCs w:val="18"/>
          <w:rtl/>
        </w:rPr>
        <w:t>לטיבותא</w:t>
      </w:r>
      <w:proofErr w:type="spellEnd"/>
      <w:r w:rsidRPr="008A6C1B">
        <w:rPr>
          <w:rFonts w:hint="cs"/>
          <w:b/>
          <w:bCs/>
          <w:sz w:val="18"/>
          <w:szCs w:val="18"/>
          <w:rtl/>
        </w:rPr>
        <w:t xml:space="preserve"> </w:t>
      </w:r>
      <w:r w:rsidRPr="008A6C1B">
        <w:rPr>
          <w:b/>
          <w:bCs/>
          <w:sz w:val="18"/>
          <w:szCs w:val="18"/>
          <w:rtl/>
        </w:rPr>
        <w:t>–</w:t>
      </w:r>
      <w:r w:rsidRPr="008A6C1B">
        <w:rPr>
          <w:rFonts w:hint="cs"/>
          <w:b/>
          <w:bCs/>
          <w:sz w:val="18"/>
          <w:szCs w:val="18"/>
          <w:rtl/>
        </w:rPr>
        <w:t xml:space="preserve"> </w:t>
      </w:r>
      <w:r w:rsidRPr="008A6C1B">
        <w:rPr>
          <w:rFonts w:hint="cs"/>
          <w:sz w:val="18"/>
          <w:szCs w:val="18"/>
          <w:rtl/>
        </w:rPr>
        <w:t xml:space="preserve">תנור (א) </w:t>
      </w:r>
      <w:r w:rsidRPr="008A6C1B">
        <w:rPr>
          <w:rFonts w:hint="cs"/>
          <w:b/>
          <w:bCs/>
          <w:sz w:val="18"/>
          <w:szCs w:val="18"/>
          <w:rtl/>
        </w:rPr>
        <w:t>גדול</w:t>
      </w:r>
      <w:r w:rsidR="006C16DC" w:rsidRPr="008A6C1B">
        <w:rPr>
          <w:rFonts w:hint="cs"/>
          <w:sz w:val="18"/>
          <w:szCs w:val="18"/>
          <w:rtl/>
        </w:rPr>
        <w:t xml:space="preserve"> (י"ב </w:t>
      </w:r>
      <w:proofErr w:type="spellStart"/>
      <w:r w:rsidR="006C16DC" w:rsidRPr="008A6C1B">
        <w:rPr>
          <w:rFonts w:hint="cs"/>
          <w:sz w:val="18"/>
          <w:szCs w:val="18"/>
          <w:rtl/>
        </w:rPr>
        <w:t>עשרונים</w:t>
      </w:r>
      <w:proofErr w:type="spellEnd"/>
      <w:r w:rsidR="009A5A6E" w:rsidRPr="008A6C1B">
        <w:rPr>
          <w:rStyle w:val="a5"/>
          <w:sz w:val="18"/>
          <w:szCs w:val="18"/>
          <w:rtl/>
        </w:rPr>
        <w:footnoteReference w:id="33"/>
      </w:r>
      <w:r w:rsidR="006C16DC" w:rsidRPr="008A6C1B">
        <w:rPr>
          <w:rFonts w:hint="cs"/>
          <w:sz w:val="18"/>
          <w:szCs w:val="18"/>
          <w:rtl/>
        </w:rPr>
        <w:t xml:space="preserve">), (ב) </w:t>
      </w:r>
      <w:r w:rsidR="006C16DC" w:rsidRPr="008A6C1B">
        <w:rPr>
          <w:rFonts w:hint="cs"/>
          <w:b/>
          <w:bCs/>
          <w:sz w:val="18"/>
          <w:szCs w:val="18"/>
          <w:rtl/>
        </w:rPr>
        <w:t>פתוח לגמרי</w:t>
      </w:r>
      <w:r w:rsidR="006C16DC" w:rsidRPr="008A6C1B">
        <w:rPr>
          <w:rFonts w:hint="cs"/>
          <w:sz w:val="18"/>
          <w:szCs w:val="18"/>
          <w:rtl/>
        </w:rPr>
        <w:t xml:space="preserve">  </w:t>
      </w:r>
      <w:proofErr w:type="spellStart"/>
      <w:r w:rsidR="006C16DC" w:rsidRPr="008A6C1B">
        <w:rPr>
          <w:rFonts w:hint="cs"/>
          <w:sz w:val="18"/>
          <w:szCs w:val="18"/>
          <w:rtl/>
        </w:rPr>
        <w:t>ריחא</w:t>
      </w:r>
      <w:proofErr w:type="spellEnd"/>
      <w:r w:rsidR="006C16DC" w:rsidRPr="008A6C1B">
        <w:rPr>
          <w:rFonts w:hint="cs"/>
          <w:sz w:val="18"/>
          <w:szCs w:val="18"/>
          <w:rtl/>
        </w:rPr>
        <w:t xml:space="preserve"> לאו מילתא אף לכתחילה</w:t>
      </w:r>
      <w:r w:rsidR="00AA18B4">
        <w:rPr>
          <w:rStyle w:val="a5"/>
          <w:sz w:val="18"/>
          <w:szCs w:val="18"/>
          <w:rtl/>
        </w:rPr>
        <w:footnoteReference w:id="34"/>
      </w:r>
      <w:r w:rsidR="006C16DC" w:rsidRPr="008A6C1B">
        <w:rPr>
          <w:rFonts w:hint="cs"/>
          <w:sz w:val="18"/>
          <w:szCs w:val="18"/>
          <w:rtl/>
        </w:rPr>
        <w:t>.</w:t>
      </w:r>
    </w:p>
    <w:p w:rsidR="006C16DC" w:rsidRPr="008A6C1B" w:rsidRDefault="006C16DC" w:rsidP="00D854B6">
      <w:pPr>
        <w:jc w:val="both"/>
        <w:rPr>
          <w:sz w:val="18"/>
          <w:szCs w:val="18"/>
          <w:rtl/>
        </w:rPr>
      </w:pPr>
      <w:r w:rsidRPr="008A6C1B">
        <w:rPr>
          <w:rFonts w:hint="cs"/>
          <w:sz w:val="18"/>
          <w:szCs w:val="18"/>
          <w:rtl/>
        </w:rPr>
        <w:t xml:space="preserve">ופסק </w:t>
      </w:r>
      <w:proofErr w:type="spellStart"/>
      <w:r w:rsidRPr="008A6C1B">
        <w:rPr>
          <w:rFonts w:hint="cs"/>
          <w:sz w:val="18"/>
          <w:szCs w:val="18"/>
          <w:rtl/>
        </w:rPr>
        <w:t>הרמ"א</w:t>
      </w:r>
      <w:proofErr w:type="spellEnd"/>
      <w:r w:rsidRPr="008A6C1B">
        <w:rPr>
          <w:rFonts w:hint="cs"/>
          <w:sz w:val="18"/>
          <w:szCs w:val="18"/>
          <w:rtl/>
        </w:rPr>
        <w:t xml:space="preserve"> שכאשר התנור סתום לגמרי </w:t>
      </w:r>
      <w:r w:rsidRPr="008A6C1B">
        <w:rPr>
          <w:sz w:val="18"/>
          <w:szCs w:val="18"/>
          <w:rtl/>
        </w:rPr>
        <w:t>–</w:t>
      </w:r>
      <w:r w:rsidRPr="008A6C1B">
        <w:rPr>
          <w:rFonts w:hint="cs"/>
          <w:sz w:val="18"/>
          <w:szCs w:val="18"/>
          <w:rtl/>
        </w:rPr>
        <w:t xml:space="preserve"> אסור אף בדיעבד, אא"כ הוא מקום הפסד מרובה.</w:t>
      </w:r>
    </w:p>
    <w:p w:rsidR="006C16DC" w:rsidRPr="008A6C1B" w:rsidRDefault="006C16DC" w:rsidP="00D854B6">
      <w:pPr>
        <w:jc w:val="both"/>
        <w:rPr>
          <w:b/>
          <w:bCs/>
          <w:sz w:val="18"/>
          <w:szCs w:val="18"/>
          <w:rtl/>
        </w:rPr>
      </w:pPr>
      <w:r w:rsidRPr="008A6C1B">
        <w:rPr>
          <w:rFonts w:hint="cs"/>
          <w:b/>
          <w:bCs/>
          <w:sz w:val="18"/>
          <w:szCs w:val="18"/>
          <w:rtl/>
        </w:rPr>
        <w:t>תחת המחבת</w:t>
      </w:r>
    </w:p>
    <w:p w:rsidR="006C16DC" w:rsidRPr="008A6C1B" w:rsidRDefault="006C16DC" w:rsidP="00D854B6">
      <w:pPr>
        <w:jc w:val="both"/>
        <w:rPr>
          <w:sz w:val="18"/>
          <w:szCs w:val="18"/>
          <w:rtl/>
        </w:rPr>
      </w:pPr>
      <w:r w:rsidRPr="008A6C1B">
        <w:rPr>
          <w:rFonts w:hint="cs"/>
          <w:sz w:val="18"/>
          <w:szCs w:val="18"/>
          <w:rtl/>
        </w:rPr>
        <w:t xml:space="preserve">כאשר נצלו שני הדברים וסמוך להם מלמעלה, ישנה מחבת </w:t>
      </w:r>
      <w:r w:rsidRPr="008A6C1B">
        <w:rPr>
          <w:sz w:val="18"/>
          <w:szCs w:val="18"/>
          <w:rtl/>
        </w:rPr>
        <w:t>–</w:t>
      </w:r>
      <w:r w:rsidRPr="008A6C1B">
        <w:rPr>
          <w:rFonts w:hint="cs"/>
          <w:sz w:val="18"/>
          <w:szCs w:val="18"/>
          <w:rtl/>
        </w:rPr>
        <w:t xml:space="preserve"> כאן </w:t>
      </w:r>
      <w:proofErr w:type="spellStart"/>
      <w:r w:rsidRPr="008A6C1B">
        <w:rPr>
          <w:rFonts w:hint="cs"/>
          <w:sz w:val="18"/>
          <w:szCs w:val="18"/>
          <w:rtl/>
        </w:rPr>
        <w:t>חמיר</w:t>
      </w:r>
      <w:proofErr w:type="spellEnd"/>
      <w:r w:rsidRPr="008A6C1B">
        <w:rPr>
          <w:rFonts w:hint="cs"/>
          <w:sz w:val="18"/>
          <w:szCs w:val="18"/>
          <w:rtl/>
        </w:rPr>
        <w:t xml:space="preserve"> טפי: א, נצלו יחד </w:t>
      </w:r>
      <w:r w:rsidRPr="008A6C1B">
        <w:rPr>
          <w:sz w:val="18"/>
          <w:szCs w:val="18"/>
          <w:rtl/>
        </w:rPr>
        <w:t>–</w:t>
      </w:r>
      <w:r w:rsidRPr="008A6C1B">
        <w:rPr>
          <w:rFonts w:hint="cs"/>
          <w:sz w:val="18"/>
          <w:szCs w:val="18"/>
          <w:rtl/>
        </w:rPr>
        <w:t xml:space="preserve"> אסור אף בדיעבד</w:t>
      </w:r>
      <w:r w:rsidR="00DA0984">
        <w:rPr>
          <w:rStyle w:val="a5"/>
          <w:sz w:val="18"/>
          <w:szCs w:val="18"/>
          <w:rtl/>
        </w:rPr>
        <w:footnoteReference w:id="35"/>
      </w:r>
      <w:r w:rsidRPr="008A6C1B">
        <w:rPr>
          <w:rFonts w:hint="cs"/>
          <w:sz w:val="18"/>
          <w:szCs w:val="18"/>
          <w:rtl/>
        </w:rPr>
        <w:t xml:space="preserve">. ב, נצלו זה אחר זה </w:t>
      </w:r>
      <w:r w:rsidRPr="008A6C1B">
        <w:rPr>
          <w:sz w:val="18"/>
          <w:szCs w:val="18"/>
          <w:rtl/>
        </w:rPr>
        <w:t>–</w:t>
      </w:r>
      <w:r w:rsidRPr="008A6C1B">
        <w:rPr>
          <w:rFonts w:hint="cs"/>
          <w:sz w:val="18"/>
          <w:szCs w:val="18"/>
          <w:rtl/>
        </w:rPr>
        <w:t xml:space="preserve"> מותר. ג, נצלה זה אחר זה, והזיעה המחבת משניהם </w:t>
      </w:r>
      <w:r w:rsidRPr="008A6C1B">
        <w:rPr>
          <w:sz w:val="18"/>
          <w:szCs w:val="18"/>
          <w:rtl/>
        </w:rPr>
        <w:t>–</w:t>
      </w:r>
      <w:r w:rsidRPr="008A6C1B">
        <w:rPr>
          <w:rFonts w:hint="cs"/>
          <w:sz w:val="18"/>
          <w:szCs w:val="18"/>
          <w:rtl/>
        </w:rPr>
        <w:t xml:space="preserve"> אסור אף בדיעבד.</w:t>
      </w:r>
    </w:p>
    <w:p w:rsidR="00EE074C" w:rsidRPr="008A6C1B" w:rsidRDefault="00EE074C" w:rsidP="00D854B6">
      <w:pPr>
        <w:jc w:val="both"/>
        <w:rPr>
          <w:sz w:val="18"/>
          <w:szCs w:val="18"/>
          <w:rtl/>
        </w:rPr>
      </w:pPr>
    </w:p>
    <w:p w:rsidR="008A6C1B" w:rsidRPr="008A6C1B" w:rsidRDefault="008A6C1B" w:rsidP="00D854B6">
      <w:pPr>
        <w:jc w:val="both"/>
        <w:rPr>
          <w:b/>
          <w:bCs/>
          <w:sz w:val="18"/>
          <w:szCs w:val="18"/>
          <w:rtl/>
        </w:rPr>
      </w:pPr>
    </w:p>
    <w:p w:rsidR="008A6C1B" w:rsidRPr="008A6C1B" w:rsidRDefault="008A6C1B" w:rsidP="00D854B6">
      <w:pPr>
        <w:jc w:val="both"/>
        <w:rPr>
          <w:b/>
          <w:bCs/>
          <w:sz w:val="18"/>
          <w:szCs w:val="18"/>
          <w:rtl/>
        </w:rPr>
      </w:pPr>
    </w:p>
    <w:p w:rsidR="008A6C1B" w:rsidRDefault="008A6C1B" w:rsidP="00D854B6">
      <w:pPr>
        <w:jc w:val="both"/>
        <w:rPr>
          <w:b/>
          <w:bCs/>
          <w:rtl/>
        </w:rPr>
        <w:sectPr w:rsidR="008A6C1B" w:rsidSect="008A6C1B">
          <w:type w:val="continuous"/>
          <w:pgSz w:w="11906" w:h="16838"/>
          <w:pgMar w:top="1440" w:right="1800" w:bottom="1440" w:left="1800" w:header="708" w:footer="708" w:gutter="0"/>
          <w:cols w:num="2" w:space="708"/>
          <w:bidi/>
          <w:rtlGutter/>
          <w:docGrid w:linePitch="360"/>
        </w:sectPr>
      </w:pPr>
    </w:p>
    <w:p w:rsidR="008A6C1B" w:rsidRDefault="008A6C1B" w:rsidP="00D854B6">
      <w:pPr>
        <w:jc w:val="both"/>
        <w:rPr>
          <w:b/>
          <w:bCs/>
          <w:rtl/>
        </w:rPr>
      </w:pPr>
    </w:p>
    <w:p w:rsidR="008A6C1B" w:rsidRDefault="008A6C1B" w:rsidP="00D854B6">
      <w:pPr>
        <w:jc w:val="both"/>
        <w:rPr>
          <w:b/>
          <w:bCs/>
          <w:rtl/>
        </w:rPr>
      </w:pPr>
    </w:p>
    <w:p w:rsidR="008A6C1B" w:rsidRDefault="008A6C1B" w:rsidP="00D854B6">
      <w:pPr>
        <w:jc w:val="both"/>
        <w:rPr>
          <w:b/>
          <w:bCs/>
          <w:rtl/>
        </w:rPr>
      </w:pPr>
    </w:p>
    <w:p w:rsidR="008A6C1B" w:rsidRDefault="008A6C1B" w:rsidP="00D854B6">
      <w:pPr>
        <w:jc w:val="both"/>
        <w:rPr>
          <w:b/>
          <w:bCs/>
          <w:rtl/>
        </w:rPr>
      </w:pPr>
    </w:p>
    <w:p w:rsidR="008A6C1B" w:rsidRDefault="008A6C1B" w:rsidP="00D854B6">
      <w:pPr>
        <w:jc w:val="both"/>
        <w:rPr>
          <w:b/>
          <w:bCs/>
          <w:rtl/>
        </w:rPr>
      </w:pPr>
    </w:p>
    <w:p w:rsidR="008A6C1B" w:rsidRDefault="008A6C1B" w:rsidP="00D854B6">
      <w:pPr>
        <w:jc w:val="both"/>
        <w:rPr>
          <w:b/>
          <w:bCs/>
          <w:rtl/>
        </w:rPr>
      </w:pPr>
    </w:p>
    <w:p w:rsidR="008A6C1B" w:rsidRDefault="008A6C1B" w:rsidP="00D854B6">
      <w:pPr>
        <w:jc w:val="both"/>
        <w:rPr>
          <w:b/>
          <w:bCs/>
          <w:rtl/>
        </w:rPr>
      </w:pPr>
    </w:p>
    <w:p w:rsidR="008A6C1B" w:rsidRDefault="008A6C1B" w:rsidP="00D854B6">
      <w:pPr>
        <w:jc w:val="both"/>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8A6C1B" w:rsidRDefault="008A6C1B" w:rsidP="00976BE3">
      <w:pPr>
        <w:rPr>
          <w:b/>
          <w:bCs/>
          <w:rtl/>
        </w:rPr>
      </w:pPr>
    </w:p>
    <w:p w:rsidR="00EE074C" w:rsidRDefault="00EE074C" w:rsidP="00976BE3">
      <w:pPr>
        <w:rPr>
          <w:b/>
          <w:bCs/>
          <w:rtl/>
        </w:rPr>
      </w:pPr>
      <w:r>
        <w:rPr>
          <w:rFonts w:hint="cs"/>
          <w:b/>
          <w:bCs/>
          <w:rtl/>
        </w:rPr>
        <w:t>כללי פליטות ובליעות</w:t>
      </w:r>
    </w:p>
    <w:p w:rsidR="00EE074C" w:rsidRDefault="00EE074C" w:rsidP="00976BE3">
      <w:pPr>
        <w:rPr>
          <w:rtl/>
        </w:rPr>
      </w:pPr>
      <w:r>
        <w:rPr>
          <w:rFonts w:hint="cs"/>
          <w:rtl/>
        </w:rPr>
        <w:t xml:space="preserve">רוטב </w:t>
      </w:r>
      <w:r>
        <w:rPr>
          <w:rtl/>
        </w:rPr>
        <w:t>–</w:t>
      </w:r>
      <w:r>
        <w:rPr>
          <w:rFonts w:hint="cs"/>
          <w:rtl/>
        </w:rPr>
        <w:t xml:space="preserve"> מפליט ומבליע בכל דבר, ומוציא אף דברים הבלועים.</w:t>
      </w:r>
    </w:p>
    <w:p w:rsidR="00EE074C" w:rsidRDefault="00EE074C" w:rsidP="00976BE3">
      <w:pPr>
        <w:rPr>
          <w:rtl/>
        </w:rPr>
      </w:pPr>
      <w:r>
        <w:rPr>
          <w:rFonts w:hint="cs"/>
          <w:rtl/>
        </w:rPr>
        <w:t xml:space="preserve">מגע בלא רוטב </w:t>
      </w:r>
      <w:r>
        <w:rPr>
          <w:rtl/>
        </w:rPr>
        <w:t>–</w:t>
      </w:r>
      <w:r>
        <w:rPr>
          <w:rFonts w:hint="cs"/>
          <w:rtl/>
        </w:rPr>
        <w:t xml:space="preserve"> אין פליטה ובליעה </w:t>
      </w:r>
      <w:r>
        <w:rPr>
          <w:rtl/>
        </w:rPr>
        <w:t>–</w:t>
      </w:r>
      <w:r>
        <w:rPr>
          <w:rFonts w:hint="cs"/>
          <w:rtl/>
        </w:rPr>
        <w:t xml:space="preserve"> אלא כדי קליפה. [ויש לדון האם פולט גם את הדבר הבלוע או רק את הדבר עצמו.] מלבד בדבר שמן, הפולט ומבליע.</w:t>
      </w:r>
    </w:p>
    <w:p w:rsidR="00EE074C" w:rsidRPr="00EE074C" w:rsidRDefault="00EE074C" w:rsidP="00976BE3">
      <w:pPr>
        <w:rPr>
          <w:rtl/>
        </w:rPr>
      </w:pPr>
      <w:proofErr w:type="spellStart"/>
      <w:r>
        <w:rPr>
          <w:rFonts w:hint="cs"/>
          <w:rtl/>
        </w:rPr>
        <w:t>ריחא</w:t>
      </w:r>
      <w:proofErr w:type="spellEnd"/>
      <w:r>
        <w:rPr>
          <w:rFonts w:hint="cs"/>
          <w:rtl/>
        </w:rPr>
        <w:t xml:space="preserve"> </w:t>
      </w:r>
      <w:r>
        <w:rPr>
          <w:rtl/>
        </w:rPr>
        <w:t>–</w:t>
      </w:r>
      <w:r>
        <w:rPr>
          <w:rFonts w:hint="cs"/>
          <w:rtl/>
        </w:rPr>
        <w:t xml:space="preserve"> יש רק כשאחד מהדברים שמן.</w:t>
      </w:r>
    </w:p>
    <w:p w:rsidR="006C16DC" w:rsidRDefault="00EE074C" w:rsidP="00976BE3">
      <w:pPr>
        <w:rPr>
          <w:rtl/>
        </w:rPr>
      </w:pPr>
      <w:r>
        <w:rPr>
          <w:rFonts w:hint="cs"/>
          <w:rtl/>
        </w:rPr>
        <w:lastRenderedPageBreak/>
        <w:t xml:space="preserve">יש לדון האם דבר שבלוע </w:t>
      </w:r>
      <w:r>
        <w:rPr>
          <w:rtl/>
        </w:rPr>
        <w:t>–</w:t>
      </w:r>
      <w:r>
        <w:rPr>
          <w:rFonts w:hint="cs"/>
          <w:rtl/>
        </w:rPr>
        <w:t xml:space="preserve"> </w:t>
      </w:r>
      <w:proofErr w:type="spellStart"/>
      <w:r>
        <w:rPr>
          <w:rFonts w:hint="cs"/>
          <w:rtl/>
        </w:rPr>
        <w:t>ריחא</w:t>
      </w:r>
      <w:proofErr w:type="spellEnd"/>
      <w:r>
        <w:rPr>
          <w:rFonts w:hint="cs"/>
          <w:rtl/>
        </w:rPr>
        <w:t xml:space="preserve"> מוציא. והאם רוטב מוציא דבר שנבלע על ידי ריח. והאם ריח עושה </w:t>
      </w:r>
      <w:proofErr w:type="spellStart"/>
      <w:r>
        <w:rPr>
          <w:rFonts w:hint="cs"/>
          <w:rtl/>
        </w:rPr>
        <w:t>חנ"ן</w:t>
      </w:r>
      <w:proofErr w:type="spellEnd"/>
      <w:r>
        <w:rPr>
          <w:rFonts w:hint="cs"/>
          <w:rtl/>
        </w:rPr>
        <w:t xml:space="preserve"> </w:t>
      </w:r>
      <w:r>
        <w:rPr>
          <w:rtl/>
        </w:rPr>
        <w:t>–</w:t>
      </w:r>
      <w:r>
        <w:rPr>
          <w:rFonts w:hint="cs"/>
          <w:rtl/>
        </w:rPr>
        <w:t xml:space="preserve"> והוכיחו מהיתרו של ההיתר המכוסה בבצק </w:t>
      </w:r>
      <w:r>
        <w:rPr>
          <w:rtl/>
        </w:rPr>
        <w:t>–</w:t>
      </w:r>
      <w:r>
        <w:rPr>
          <w:rFonts w:hint="cs"/>
          <w:rtl/>
        </w:rPr>
        <w:t xml:space="preserve"> </w:t>
      </w:r>
      <w:proofErr w:type="spellStart"/>
      <w:r>
        <w:rPr>
          <w:rFonts w:hint="cs"/>
          <w:rtl/>
        </w:rPr>
        <w:t>דאין</w:t>
      </w:r>
      <w:proofErr w:type="spellEnd"/>
      <w:r>
        <w:rPr>
          <w:rFonts w:hint="cs"/>
          <w:rtl/>
        </w:rPr>
        <w:t xml:space="preserve"> רוטב מוציא דבר שנבלע על ידי ריח, ואין ריח עושה </w:t>
      </w:r>
      <w:proofErr w:type="spellStart"/>
      <w:r>
        <w:rPr>
          <w:rFonts w:hint="cs"/>
          <w:rtl/>
        </w:rPr>
        <w:t>חנ"ן</w:t>
      </w:r>
      <w:proofErr w:type="spellEnd"/>
      <w:r>
        <w:rPr>
          <w:rFonts w:hint="cs"/>
          <w:rtl/>
        </w:rPr>
        <w:t xml:space="preserve">. </w:t>
      </w:r>
    </w:p>
    <w:p w:rsidR="00E67DA9" w:rsidRDefault="00E67DA9" w:rsidP="00976BE3">
      <w:pPr>
        <w:rPr>
          <w:rtl/>
        </w:rPr>
      </w:pPr>
    </w:p>
    <w:p w:rsidR="00E67DA9" w:rsidRDefault="00E67DA9" w:rsidP="00976BE3">
      <w:pPr>
        <w:rPr>
          <w:b/>
          <w:bCs/>
          <w:rtl/>
        </w:rPr>
      </w:pPr>
      <w:r>
        <w:rPr>
          <w:rFonts w:hint="cs"/>
          <w:b/>
          <w:bCs/>
          <w:rtl/>
        </w:rPr>
        <w:t>גדרי איסור הנאה</w:t>
      </w:r>
    </w:p>
    <w:p w:rsidR="00E67DA9" w:rsidRDefault="008C6877" w:rsidP="00976BE3">
      <w:pPr>
        <w:rPr>
          <w:rtl/>
        </w:rPr>
      </w:pPr>
      <w:r>
        <w:rPr>
          <w:rFonts w:hint="cs"/>
          <w:rtl/>
        </w:rPr>
        <w:t xml:space="preserve">נחלקו הראשונים </w:t>
      </w:r>
      <w:proofErr w:type="spellStart"/>
      <w:r>
        <w:rPr>
          <w:rFonts w:hint="cs"/>
          <w:rtl/>
        </w:rPr>
        <w:t>אמאי</w:t>
      </w:r>
      <w:proofErr w:type="spellEnd"/>
      <w:r>
        <w:rPr>
          <w:rFonts w:hint="cs"/>
          <w:rtl/>
        </w:rPr>
        <w:t xml:space="preserve"> התיר רבא להריח יין נסך ולא חשש לאיסור הנאה. ויש שתירצו</w:t>
      </w:r>
      <w:r w:rsidR="00943CDC">
        <w:rPr>
          <w:rStyle w:val="a5"/>
          <w:rtl/>
        </w:rPr>
        <w:footnoteReference w:id="36"/>
      </w:r>
      <w:r>
        <w:rPr>
          <w:rFonts w:hint="cs"/>
          <w:rtl/>
        </w:rPr>
        <w:t xml:space="preserve"> שהוא משום</w:t>
      </w:r>
      <w:r w:rsidR="00BD2DA6">
        <w:rPr>
          <w:rFonts w:hint="cs"/>
          <w:rtl/>
        </w:rPr>
        <w:t xml:space="preserve"> שאין היין עומד לריחו. ויש שמיאנו בתירוץ זה, והוצרכו</w:t>
      </w:r>
      <w:r w:rsidR="00943CDC">
        <w:rPr>
          <w:rStyle w:val="a5"/>
          <w:rtl/>
        </w:rPr>
        <w:footnoteReference w:id="37"/>
      </w:r>
      <w:r w:rsidR="00BD2DA6">
        <w:rPr>
          <w:rFonts w:hint="cs"/>
          <w:rtl/>
        </w:rPr>
        <w:t xml:space="preserve"> להא </w:t>
      </w:r>
      <w:proofErr w:type="spellStart"/>
      <w:r w:rsidR="00BD2DA6">
        <w:rPr>
          <w:rFonts w:hint="cs"/>
          <w:rtl/>
        </w:rPr>
        <w:t>דהרחת</w:t>
      </w:r>
      <w:proofErr w:type="spellEnd"/>
      <w:r w:rsidR="00BD2DA6">
        <w:rPr>
          <w:rFonts w:hint="cs"/>
          <w:rtl/>
        </w:rPr>
        <w:t xml:space="preserve"> היין מזיקה</w:t>
      </w:r>
      <w:r w:rsidR="00943CDC">
        <w:rPr>
          <w:rStyle w:val="a5"/>
          <w:rtl/>
        </w:rPr>
        <w:footnoteReference w:id="38"/>
      </w:r>
      <w:r w:rsidR="00BD2DA6">
        <w:rPr>
          <w:rFonts w:hint="cs"/>
          <w:rtl/>
        </w:rPr>
        <w:t>.</w:t>
      </w:r>
    </w:p>
    <w:p w:rsidR="00943CDC" w:rsidRDefault="00943CDC" w:rsidP="00976BE3">
      <w:pPr>
        <w:rPr>
          <w:rtl/>
        </w:rPr>
      </w:pPr>
      <w:r>
        <w:rPr>
          <w:rFonts w:hint="cs"/>
          <w:rtl/>
        </w:rPr>
        <w:t xml:space="preserve">ובעצם </w:t>
      </w:r>
      <w:proofErr w:type="spellStart"/>
      <w:r>
        <w:rPr>
          <w:rFonts w:hint="cs"/>
          <w:rtl/>
        </w:rPr>
        <w:t>סברא</w:t>
      </w:r>
      <w:proofErr w:type="spellEnd"/>
      <w:r>
        <w:rPr>
          <w:rFonts w:hint="cs"/>
          <w:rtl/>
        </w:rPr>
        <w:t xml:space="preserve"> זו </w:t>
      </w:r>
      <w:r w:rsidR="0026315F">
        <w:rPr>
          <w:rtl/>
        </w:rPr>
        <w:t>–</w:t>
      </w:r>
      <w:r w:rsidR="0026315F">
        <w:rPr>
          <w:rFonts w:hint="cs"/>
          <w:rtl/>
        </w:rPr>
        <w:t xml:space="preserve"> שכשאין הדבר עומד לריח, אין איסור להריחו, אפשר לשמוע שני צדדים, האחד מצד ההנאה והשני מצד החפץ האסור. </w:t>
      </w:r>
      <w:proofErr w:type="spellStart"/>
      <w:r w:rsidR="0026315F">
        <w:rPr>
          <w:rFonts w:hint="cs"/>
          <w:rtl/>
        </w:rPr>
        <w:t>דייתכן</w:t>
      </w:r>
      <w:proofErr w:type="spellEnd"/>
      <w:r w:rsidR="0026315F">
        <w:rPr>
          <w:rFonts w:hint="cs"/>
          <w:rtl/>
        </w:rPr>
        <w:t xml:space="preserve"> שזו </w:t>
      </w:r>
      <w:proofErr w:type="spellStart"/>
      <w:r w:rsidR="0026315F">
        <w:rPr>
          <w:rFonts w:hint="cs"/>
          <w:rtl/>
        </w:rPr>
        <w:t>סברא</w:t>
      </w:r>
      <w:proofErr w:type="spellEnd"/>
      <w:r w:rsidR="0026315F">
        <w:rPr>
          <w:rFonts w:hint="cs"/>
          <w:rtl/>
        </w:rPr>
        <w:t xml:space="preserve"> בהנאה, </w:t>
      </w:r>
      <w:proofErr w:type="spellStart"/>
      <w:r w:rsidR="0026315F">
        <w:rPr>
          <w:rFonts w:hint="cs"/>
          <w:rtl/>
        </w:rPr>
        <w:t>דכיון</w:t>
      </w:r>
      <w:proofErr w:type="spellEnd"/>
      <w:r w:rsidR="0026315F">
        <w:rPr>
          <w:rFonts w:hint="cs"/>
          <w:rtl/>
        </w:rPr>
        <w:t xml:space="preserve"> שברור שלא כל דבר אפשר להגדיר כהנאה, רק סוג כזה של שימוש שלתכליתו </w:t>
      </w:r>
      <w:r w:rsidR="00791305">
        <w:rPr>
          <w:rFonts w:hint="cs"/>
          <w:rtl/>
        </w:rPr>
        <w:t xml:space="preserve">נועד החפץ, מוגדר כהנאה חשובה. וייתכן שזו </w:t>
      </w:r>
      <w:proofErr w:type="spellStart"/>
      <w:r w:rsidR="00791305">
        <w:rPr>
          <w:rFonts w:hint="cs"/>
          <w:rtl/>
        </w:rPr>
        <w:t>סברא</w:t>
      </w:r>
      <w:proofErr w:type="spellEnd"/>
      <w:r w:rsidR="00791305">
        <w:rPr>
          <w:rFonts w:hint="cs"/>
          <w:rtl/>
        </w:rPr>
        <w:t xml:space="preserve"> בחפץ </w:t>
      </w:r>
      <w:r w:rsidR="00791305">
        <w:rPr>
          <w:rtl/>
        </w:rPr>
        <w:t>–</w:t>
      </w:r>
      <w:r w:rsidR="00791305">
        <w:rPr>
          <w:rFonts w:hint="cs"/>
          <w:rtl/>
        </w:rPr>
        <w:t xml:space="preserve"> </w:t>
      </w:r>
      <w:proofErr w:type="spellStart"/>
      <w:r w:rsidR="00791305">
        <w:rPr>
          <w:rFonts w:hint="cs"/>
          <w:rtl/>
        </w:rPr>
        <w:t>דכיון</w:t>
      </w:r>
      <w:proofErr w:type="spellEnd"/>
      <w:r w:rsidR="00791305">
        <w:rPr>
          <w:rFonts w:hint="cs"/>
          <w:rtl/>
        </w:rPr>
        <w:t xml:space="preserve"> שיסוד איסור הנאה הוא השתמשות בחפץ, רק כזו הנאה שעבורה מיועד החפץ, מגדרת שימוש. </w:t>
      </w:r>
      <w:proofErr w:type="spellStart"/>
      <w:r w:rsidR="00791305">
        <w:rPr>
          <w:rFonts w:hint="cs"/>
          <w:rtl/>
        </w:rPr>
        <w:t>משא"כ</w:t>
      </w:r>
      <w:proofErr w:type="spellEnd"/>
      <w:r w:rsidR="00791305">
        <w:rPr>
          <w:rFonts w:hint="cs"/>
          <w:rtl/>
        </w:rPr>
        <w:t xml:space="preserve"> בהנאות אחרות.</w:t>
      </w:r>
    </w:p>
    <w:p w:rsidR="00943CDC" w:rsidRDefault="00943CDC" w:rsidP="00976BE3">
      <w:pPr>
        <w:rPr>
          <w:rtl/>
        </w:rPr>
      </w:pPr>
      <w:r>
        <w:rPr>
          <w:rFonts w:hint="cs"/>
          <w:rtl/>
        </w:rPr>
        <w:t>ו</w:t>
      </w:r>
      <w:r w:rsidR="00791305">
        <w:rPr>
          <w:rFonts w:hint="cs"/>
          <w:rtl/>
        </w:rPr>
        <w:t xml:space="preserve">הנה </w:t>
      </w:r>
      <w:proofErr w:type="spellStart"/>
      <w:r>
        <w:rPr>
          <w:rFonts w:hint="cs"/>
          <w:rtl/>
        </w:rPr>
        <w:t>המרדכי</w:t>
      </w:r>
      <w:proofErr w:type="spellEnd"/>
      <w:r>
        <w:rPr>
          <w:rFonts w:hint="cs"/>
          <w:rtl/>
        </w:rPr>
        <w:t xml:space="preserve"> הביא ראיה ליסוד זה מהא </w:t>
      </w:r>
      <w:proofErr w:type="spellStart"/>
      <w:r>
        <w:rPr>
          <w:rFonts w:hint="cs"/>
          <w:rtl/>
        </w:rPr>
        <w:t>דאתרוג</w:t>
      </w:r>
      <w:proofErr w:type="spellEnd"/>
      <w:r>
        <w:rPr>
          <w:rFonts w:hint="cs"/>
          <w:rtl/>
        </w:rPr>
        <w:t xml:space="preserve"> של מצווה מותר להריח בו </w:t>
      </w:r>
      <w:r>
        <w:rPr>
          <w:rtl/>
        </w:rPr>
        <w:t>–</w:t>
      </w:r>
      <w:r>
        <w:rPr>
          <w:rFonts w:hint="cs"/>
          <w:rtl/>
        </w:rPr>
        <w:t xml:space="preserve"> משום שעיקרו לטעם, על כן לא הוקצה מריח. והבין </w:t>
      </w:r>
      <w:proofErr w:type="spellStart"/>
      <w:r>
        <w:rPr>
          <w:rFonts w:hint="cs"/>
          <w:rtl/>
        </w:rPr>
        <w:t>המרדכי</w:t>
      </w:r>
      <w:proofErr w:type="spellEnd"/>
      <w:r>
        <w:rPr>
          <w:rFonts w:hint="cs"/>
          <w:rtl/>
        </w:rPr>
        <w:t xml:space="preserve"> שהכוונה שכיון </w:t>
      </w:r>
      <w:r w:rsidR="00791305">
        <w:rPr>
          <w:rFonts w:hint="cs"/>
          <w:rtl/>
        </w:rPr>
        <w:t>עומד לכך, אינו מוגדר הנאה.</w:t>
      </w:r>
    </w:p>
    <w:p w:rsidR="00791305" w:rsidRDefault="00791305" w:rsidP="00976BE3">
      <w:pPr>
        <w:rPr>
          <w:rtl/>
        </w:rPr>
      </w:pPr>
      <w:r>
        <w:rPr>
          <w:rFonts w:hint="cs"/>
          <w:rtl/>
        </w:rPr>
        <w:t xml:space="preserve">אבל תמהו עליו </w:t>
      </w:r>
      <w:proofErr w:type="spellStart"/>
      <w:r>
        <w:rPr>
          <w:rFonts w:hint="cs"/>
          <w:rtl/>
        </w:rPr>
        <w:t>הש"ך</w:t>
      </w:r>
      <w:proofErr w:type="spellEnd"/>
      <w:r>
        <w:rPr>
          <w:rFonts w:hint="cs"/>
          <w:rtl/>
        </w:rPr>
        <w:t xml:space="preserve"> </w:t>
      </w:r>
      <w:proofErr w:type="spellStart"/>
      <w:r>
        <w:rPr>
          <w:rFonts w:hint="cs"/>
          <w:rtl/>
        </w:rPr>
        <w:t>והגר"א</w:t>
      </w:r>
      <w:proofErr w:type="spellEnd"/>
      <w:r>
        <w:rPr>
          <w:rFonts w:hint="cs"/>
          <w:rtl/>
        </w:rPr>
        <w:t xml:space="preserve"> וכתבו שלא רק שאין משם ראיה ליסוד זה, אלא מוכח משם להיפך, </w:t>
      </w:r>
      <w:proofErr w:type="spellStart"/>
      <w:r>
        <w:rPr>
          <w:rFonts w:hint="cs"/>
          <w:rtl/>
        </w:rPr>
        <w:t>דכיון</w:t>
      </w:r>
      <w:proofErr w:type="spellEnd"/>
      <w:r>
        <w:rPr>
          <w:rFonts w:hint="cs"/>
          <w:rtl/>
        </w:rPr>
        <w:t xml:space="preserve"> שהוצרכה </w:t>
      </w:r>
      <w:proofErr w:type="spellStart"/>
      <w:r>
        <w:rPr>
          <w:rFonts w:hint="cs"/>
          <w:rtl/>
        </w:rPr>
        <w:t>הגמ</w:t>
      </w:r>
      <w:proofErr w:type="spellEnd"/>
      <w:r>
        <w:rPr>
          <w:rFonts w:hint="cs"/>
          <w:rtl/>
        </w:rPr>
        <w:t xml:space="preserve">' לומר שלא הוקצה האתרוג לריחו כיון שאינו עומד לכך, משמע שאם היה מוקצה </w:t>
      </w:r>
      <w:r>
        <w:rPr>
          <w:rtl/>
        </w:rPr>
        <w:t>–</w:t>
      </w:r>
      <w:r>
        <w:rPr>
          <w:rFonts w:hint="cs"/>
          <w:rtl/>
        </w:rPr>
        <w:t xml:space="preserve"> היה נאסר להריח, אף שאינו עומד לריח, </w:t>
      </w:r>
      <w:proofErr w:type="spellStart"/>
      <w:r>
        <w:rPr>
          <w:rFonts w:hint="cs"/>
          <w:rtl/>
        </w:rPr>
        <w:t>ומכח</w:t>
      </w:r>
      <w:proofErr w:type="spellEnd"/>
      <w:r>
        <w:rPr>
          <w:rFonts w:hint="cs"/>
          <w:rtl/>
        </w:rPr>
        <w:t xml:space="preserve"> כך הכריח </w:t>
      </w:r>
      <w:proofErr w:type="spellStart"/>
      <w:r>
        <w:rPr>
          <w:rFonts w:hint="cs"/>
          <w:rtl/>
        </w:rPr>
        <w:t>הגר"א</w:t>
      </w:r>
      <w:proofErr w:type="spellEnd"/>
      <w:r>
        <w:rPr>
          <w:rFonts w:hint="cs"/>
          <w:rtl/>
        </w:rPr>
        <w:t xml:space="preserve"> את </w:t>
      </w:r>
      <w:proofErr w:type="spellStart"/>
      <w:r>
        <w:rPr>
          <w:rFonts w:hint="cs"/>
          <w:rtl/>
        </w:rPr>
        <w:t>התרוץ</w:t>
      </w:r>
      <w:proofErr w:type="spellEnd"/>
      <w:r>
        <w:rPr>
          <w:rFonts w:hint="cs"/>
          <w:rtl/>
        </w:rPr>
        <w:t xml:space="preserve"> שהיין מזיק.</w:t>
      </w:r>
    </w:p>
    <w:p w:rsidR="00791305" w:rsidRPr="00E67DA9" w:rsidRDefault="00791305" w:rsidP="00976BE3">
      <w:r>
        <w:rPr>
          <w:rFonts w:hint="cs"/>
          <w:rtl/>
        </w:rPr>
        <w:t xml:space="preserve">ולכאורה לולי דבריהם היה נראה לחלק בין שני סוגי איסורי ההנאה. שכשדנים לגבי איסורי הנאה בעצם </w:t>
      </w:r>
      <w:r>
        <w:rPr>
          <w:rtl/>
        </w:rPr>
        <w:t>–</w:t>
      </w:r>
      <w:r>
        <w:rPr>
          <w:rFonts w:hint="cs"/>
          <w:rtl/>
        </w:rPr>
        <w:t xml:space="preserve"> כאן צריך אולי הנאה חשובה יותר, וכל שאין עומד להנאה זו הרי זה מותר. אבל לגבי הוקצה למצוותו, היסוד הוא כעין הקדש, שאין לפגוע בחפץ זה שעומד למצווה, וכאן יש לומר שכל שימוש בדבר </w:t>
      </w:r>
      <w:r>
        <w:rPr>
          <w:rtl/>
        </w:rPr>
        <w:t>–</w:t>
      </w:r>
      <w:r>
        <w:rPr>
          <w:rFonts w:hint="cs"/>
          <w:rtl/>
        </w:rPr>
        <w:t xml:space="preserve"> אף שאינו מוגדר "הנאה", יהיה אסור</w:t>
      </w:r>
      <w:r>
        <w:rPr>
          <w:rStyle w:val="a5"/>
          <w:rtl/>
        </w:rPr>
        <w:footnoteReference w:id="39"/>
      </w:r>
      <w:r>
        <w:rPr>
          <w:rFonts w:hint="cs"/>
          <w:rtl/>
        </w:rPr>
        <w:t xml:space="preserve">. ועל כן צריכה </w:t>
      </w:r>
      <w:proofErr w:type="spellStart"/>
      <w:r>
        <w:rPr>
          <w:rFonts w:hint="cs"/>
          <w:rtl/>
        </w:rPr>
        <w:t>הגמ</w:t>
      </w:r>
      <w:proofErr w:type="spellEnd"/>
      <w:r>
        <w:rPr>
          <w:rFonts w:hint="cs"/>
          <w:rtl/>
        </w:rPr>
        <w:t>' כדי להסביר את היתר הרחת האתרוג, לומר שהריח לא הוקצה כלל.</w:t>
      </w:r>
    </w:p>
    <w:sectPr w:rsidR="00791305" w:rsidRPr="00E67DA9" w:rsidSect="008A6C1B">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DE1" w:rsidRDefault="002C5DE1" w:rsidP="00D92766">
      <w:pPr>
        <w:spacing w:after="0" w:line="240" w:lineRule="auto"/>
      </w:pPr>
      <w:r>
        <w:separator/>
      </w:r>
    </w:p>
  </w:endnote>
  <w:endnote w:type="continuationSeparator" w:id="0">
    <w:p w:rsidR="002C5DE1" w:rsidRDefault="002C5DE1" w:rsidP="00D92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36876060"/>
      <w:docPartObj>
        <w:docPartGallery w:val="Page Numbers (Bottom of Page)"/>
        <w:docPartUnique/>
      </w:docPartObj>
    </w:sdtPr>
    <w:sdtEndPr>
      <w:rPr>
        <w:cs/>
      </w:rPr>
    </w:sdtEndPr>
    <w:sdtContent>
      <w:p w:rsidR="00A360DE" w:rsidRDefault="00A360DE">
        <w:pPr>
          <w:pStyle w:val="ab"/>
          <w:jc w:val="center"/>
          <w:rPr>
            <w:cs/>
          </w:rPr>
        </w:pPr>
        <w:r>
          <w:fldChar w:fldCharType="begin"/>
        </w:r>
        <w:r>
          <w:rPr>
            <w:cs/>
          </w:rPr>
          <w:instrText>PAGE   \* MERGEFORMAT</w:instrText>
        </w:r>
        <w:r>
          <w:fldChar w:fldCharType="separate"/>
        </w:r>
        <w:r w:rsidR="002D757A" w:rsidRPr="002D757A">
          <w:rPr>
            <w:noProof/>
            <w:rtl/>
            <w:lang w:val="he-IL"/>
          </w:rPr>
          <w:t>2</w:t>
        </w:r>
        <w:r>
          <w:fldChar w:fldCharType="end"/>
        </w:r>
      </w:p>
    </w:sdtContent>
  </w:sdt>
  <w:p w:rsidR="00A360DE" w:rsidRDefault="00A360D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DE1" w:rsidRDefault="002C5DE1" w:rsidP="00D92766">
      <w:pPr>
        <w:spacing w:after="0" w:line="240" w:lineRule="auto"/>
      </w:pPr>
      <w:r>
        <w:separator/>
      </w:r>
    </w:p>
  </w:footnote>
  <w:footnote w:type="continuationSeparator" w:id="0">
    <w:p w:rsidR="002C5DE1" w:rsidRDefault="002C5DE1" w:rsidP="00D92766">
      <w:pPr>
        <w:spacing w:after="0" w:line="240" w:lineRule="auto"/>
      </w:pPr>
      <w:r>
        <w:continuationSeparator/>
      </w:r>
    </w:p>
  </w:footnote>
  <w:footnote w:id="1">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פסחים ע"ו.</w:t>
      </w:r>
    </w:p>
  </w:footnote>
  <w:footnote w:id="2">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ע"ז ס"ו.</w:t>
      </w:r>
    </w:p>
  </w:footnote>
  <w:footnote w:id="3">
    <w:p w:rsidR="00A360DE" w:rsidRPr="008A6C1B" w:rsidRDefault="00A360DE">
      <w:pPr>
        <w:pStyle w:val="a3"/>
        <w:rPr>
          <w:sz w:val="16"/>
          <w:szCs w:val="16"/>
        </w:rPr>
      </w:pPr>
      <w:r w:rsidRPr="008A6C1B">
        <w:rPr>
          <w:rStyle w:val="a5"/>
          <w:sz w:val="16"/>
          <w:szCs w:val="16"/>
        </w:rPr>
        <w:footnoteRef/>
      </w:r>
      <w:r w:rsidRPr="008A6C1B">
        <w:rPr>
          <w:sz w:val="16"/>
          <w:szCs w:val="16"/>
          <w:rtl/>
        </w:rPr>
        <w:t xml:space="preserve"> </w:t>
      </w:r>
      <w:r w:rsidRPr="008A6C1B">
        <w:rPr>
          <w:rFonts w:hint="cs"/>
          <w:sz w:val="16"/>
          <w:szCs w:val="16"/>
          <w:rtl/>
        </w:rPr>
        <w:t xml:space="preserve">ועי' </w:t>
      </w:r>
      <w:proofErr w:type="spellStart"/>
      <w:r w:rsidRPr="008A6C1B">
        <w:rPr>
          <w:rFonts w:hint="cs"/>
          <w:sz w:val="16"/>
          <w:szCs w:val="16"/>
          <w:rtl/>
        </w:rPr>
        <w:t>בחת"ס</w:t>
      </w:r>
      <w:proofErr w:type="spellEnd"/>
      <w:r w:rsidRPr="008A6C1B">
        <w:rPr>
          <w:rFonts w:hint="cs"/>
          <w:sz w:val="16"/>
          <w:szCs w:val="16"/>
          <w:rtl/>
        </w:rPr>
        <w:t xml:space="preserve"> בע"ז שם ששייך מחלוקת זו גם לעוד מחלוקת של </w:t>
      </w:r>
      <w:proofErr w:type="spellStart"/>
      <w:r w:rsidRPr="008A6C1B">
        <w:rPr>
          <w:rFonts w:hint="cs"/>
          <w:sz w:val="16"/>
          <w:szCs w:val="16"/>
          <w:rtl/>
        </w:rPr>
        <w:t>אביי</w:t>
      </w:r>
      <w:proofErr w:type="spellEnd"/>
      <w:r w:rsidRPr="008A6C1B">
        <w:rPr>
          <w:rFonts w:hint="cs"/>
          <w:sz w:val="16"/>
          <w:szCs w:val="16"/>
          <w:rtl/>
        </w:rPr>
        <w:t xml:space="preserve"> ורבא אשר הובאה שם בגמ' לעיל, האם יין שריחו-כחומץ וטעמו-כיין דינו כיין או כחומץ, ומבואר </w:t>
      </w:r>
      <w:proofErr w:type="spellStart"/>
      <w:r w:rsidRPr="008A6C1B">
        <w:rPr>
          <w:rFonts w:hint="cs"/>
          <w:sz w:val="16"/>
          <w:szCs w:val="16"/>
          <w:rtl/>
        </w:rPr>
        <w:t>לפי"ז</w:t>
      </w:r>
      <w:proofErr w:type="spellEnd"/>
      <w:r w:rsidRPr="008A6C1B">
        <w:rPr>
          <w:rFonts w:hint="cs"/>
          <w:sz w:val="16"/>
          <w:szCs w:val="16"/>
          <w:rtl/>
        </w:rPr>
        <w:t xml:space="preserve"> שיש כאן מחלוקת עקרונית בהחשבת עניין הריח.</w:t>
      </w:r>
    </w:p>
  </w:footnote>
  <w:footnote w:id="4">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והיינו, שיין נסך, חוץ מהאיסור הנאה הכללי שיש בו, יש בו גם איסור פרטי על האכילה. וכן הוא ברמב"ם.</w:t>
      </w:r>
    </w:p>
  </w:footnote>
  <w:footnote w:id="5">
    <w:p w:rsidR="00A360DE" w:rsidRPr="008A6C1B" w:rsidRDefault="00A360DE" w:rsidP="008A6C1B">
      <w:pPr>
        <w:pStyle w:val="a3"/>
        <w:rPr>
          <w:sz w:val="16"/>
          <w:szCs w:val="16"/>
        </w:rPr>
      </w:pPr>
      <w:r w:rsidRPr="008A6C1B">
        <w:rPr>
          <w:rStyle w:val="a5"/>
          <w:sz w:val="16"/>
          <w:szCs w:val="16"/>
        </w:rPr>
        <w:footnoteRef/>
      </w:r>
      <w:r w:rsidRPr="008A6C1B">
        <w:rPr>
          <w:sz w:val="16"/>
          <w:szCs w:val="16"/>
          <w:rtl/>
        </w:rPr>
        <w:t xml:space="preserve"> </w:t>
      </w:r>
      <w:r w:rsidRPr="008A6C1B">
        <w:rPr>
          <w:rFonts w:hint="cs"/>
          <w:sz w:val="16"/>
          <w:szCs w:val="16"/>
          <w:rtl/>
        </w:rPr>
        <w:t xml:space="preserve">ועי' </w:t>
      </w:r>
      <w:proofErr w:type="spellStart"/>
      <w:r w:rsidRPr="008A6C1B">
        <w:rPr>
          <w:rFonts w:hint="cs"/>
          <w:sz w:val="16"/>
          <w:szCs w:val="16"/>
          <w:rtl/>
        </w:rPr>
        <w:t>בדרכ"מ</w:t>
      </w:r>
      <w:proofErr w:type="spellEnd"/>
      <w:r w:rsidRPr="008A6C1B">
        <w:rPr>
          <w:rFonts w:hint="cs"/>
          <w:sz w:val="16"/>
          <w:szCs w:val="16"/>
          <w:rtl/>
        </w:rPr>
        <w:t xml:space="preserve">  בסוף הסי' שהביא </w:t>
      </w:r>
      <w:proofErr w:type="spellStart"/>
      <w:r w:rsidRPr="008A6C1B">
        <w:rPr>
          <w:rFonts w:hint="cs"/>
          <w:sz w:val="16"/>
          <w:szCs w:val="16"/>
          <w:rtl/>
        </w:rPr>
        <w:t>מהריב"ש</w:t>
      </w:r>
      <w:proofErr w:type="spellEnd"/>
      <w:r w:rsidRPr="008A6C1B">
        <w:rPr>
          <w:rFonts w:hint="cs"/>
          <w:sz w:val="16"/>
          <w:szCs w:val="16"/>
          <w:rtl/>
        </w:rPr>
        <w:t xml:space="preserve"> (רפ"ח) שלמד  מכאן שטעימת איסור בלשון אף בלי בליעתו נחשבת אכילה ואסורה, </w:t>
      </w:r>
      <w:proofErr w:type="spellStart"/>
      <w:r w:rsidRPr="008A6C1B">
        <w:rPr>
          <w:rFonts w:hint="cs"/>
          <w:sz w:val="16"/>
          <w:szCs w:val="16"/>
          <w:rtl/>
        </w:rPr>
        <w:t>מק"ו</w:t>
      </w:r>
      <w:proofErr w:type="spellEnd"/>
      <w:r w:rsidRPr="008A6C1B">
        <w:rPr>
          <w:rFonts w:hint="cs"/>
          <w:sz w:val="16"/>
          <w:szCs w:val="16"/>
          <w:rtl/>
        </w:rPr>
        <w:t xml:space="preserve"> </w:t>
      </w:r>
      <w:proofErr w:type="spellStart"/>
      <w:r w:rsidRPr="008A6C1B">
        <w:rPr>
          <w:rFonts w:hint="cs"/>
          <w:sz w:val="16"/>
          <w:szCs w:val="16"/>
          <w:rtl/>
        </w:rPr>
        <w:t>מריחא</w:t>
      </w:r>
      <w:proofErr w:type="spellEnd"/>
      <w:r w:rsidRPr="008A6C1B">
        <w:rPr>
          <w:rFonts w:hint="cs"/>
          <w:sz w:val="16"/>
          <w:szCs w:val="16"/>
          <w:rtl/>
        </w:rPr>
        <w:t xml:space="preserve"> מילתא.</w:t>
      </w:r>
    </w:p>
  </w:footnote>
  <w:footnote w:id="6">
    <w:p w:rsidR="00A360DE" w:rsidRPr="008A6C1B" w:rsidRDefault="00A360DE">
      <w:pPr>
        <w:pStyle w:val="a3"/>
        <w:rPr>
          <w:sz w:val="16"/>
          <w:szCs w:val="16"/>
        </w:rPr>
      </w:pPr>
      <w:r w:rsidRPr="008A6C1B">
        <w:rPr>
          <w:rStyle w:val="a5"/>
          <w:sz w:val="16"/>
          <w:szCs w:val="16"/>
        </w:rPr>
        <w:footnoteRef/>
      </w:r>
      <w:r w:rsidRPr="008A6C1B">
        <w:rPr>
          <w:sz w:val="16"/>
          <w:szCs w:val="16"/>
          <w:rtl/>
        </w:rPr>
        <w:t xml:space="preserve"> </w:t>
      </w:r>
      <w:r w:rsidRPr="008A6C1B">
        <w:rPr>
          <w:rFonts w:hint="cs"/>
          <w:sz w:val="16"/>
          <w:szCs w:val="16"/>
          <w:rtl/>
        </w:rPr>
        <w:t xml:space="preserve">וראייתם שהרחת היין מוגדרת הנאה, מהא </w:t>
      </w:r>
      <w:proofErr w:type="spellStart"/>
      <w:r w:rsidRPr="008A6C1B">
        <w:rPr>
          <w:rFonts w:hint="cs"/>
          <w:sz w:val="16"/>
          <w:szCs w:val="16"/>
          <w:rtl/>
        </w:rPr>
        <w:t>דלכו"ע</w:t>
      </w:r>
      <w:proofErr w:type="spellEnd"/>
      <w:r w:rsidRPr="008A6C1B">
        <w:rPr>
          <w:rFonts w:hint="cs"/>
          <w:sz w:val="16"/>
          <w:szCs w:val="16"/>
          <w:rtl/>
        </w:rPr>
        <w:t xml:space="preserve"> אסור לזלף יין נסך על מנת </w:t>
      </w:r>
      <w:proofErr w:type="spellStart"/>
      <w:r w:rsidRPr="008A6C1B">
        <w:rPr>
          <w:rFonts w:hint="cs"/>
          <w:sz w:val="16"/>
          <w:szCs w:val="16"/>
          <w:rtl/>
        </w:rPr>
        <w:t>שיווצר</w:t>
      </w:r>
      <w:proofErr w:type="spellEnd"/>
      <w:r w:rsidRPr="008A6C1B">
        <w:rPr>
          <w:rFonts w:hint="cs"/>
          <w:sz w:val="16"/>
          <w:szCs w:val="16"/>
          <w:rtl/>
        </w:rPr>
        <w:t xml:space="preserve"> ריח טוב, ומשום איסור הנאה.</w:t>
      </w:r>
    </w:p>
  </w:footnote>
  <w:footnote w:id="7">
    <w:p w:rsidR="00A360DE" w:rsidRPr="008A6C1B" w:rsidRDefault="00A360DE">
      <w:pPr>
        <w:pStyle w:val="a3"/>
        <w:rPr>
          <w:sz w:val="16"/>
          <w:szCs w:val="16"/>
          <w:rtl/>
        </w:rPr>
      </w:pPr>
      <w:r w:rsidRPr="008A6C1B">
        <w:rPr>
          <w:rStyle w:val="a5"/>
          <w:sz w:val="16"/>
          <w:szCs w:val="16"/>
        </w:rPr>
        <w:footnoteRef/>
      </w:r>
      <w:r w:rsidRPr="008A6C1B">
        <w:rPr>
          <w:rFonts w:hint="cs"/>
          <w:sz w:val="16"/>
          <w:szCs w:val="16"/>
          <w:rtl/>
        </w:rPr>
        <w:t xml:space="preserve"> ב"י בשם </w:t>
      </w:r>
      <w:proofErr w:type="spellStart"/>
      <w:r w:rsidRPr="008A6C1B">
        <w:rPr>
          <w:rFonts w:hint="cs"/>
          <w:sz w:val="16"/>
          <w:szCs w:val="16"/>
          <w:rtl/>
        </w:rPr>
        <w:t>ארחות</w:t>
      </w:r>
      <w:proofErr w:type="spellEnd"/>
      <w:r w:rsidRPr="008A6C1B">
        <w:rPr>
          <w:rFonts w:hint="cs"/>
          <w:sz w:val="16"/>
          <w:szCs w:val="16"/>
          <w:rtl/>
        </w:rPr>
        <w:t xml:space="preserve"> חיים.</w:t>
      </w:r>
    </w:p>
  </w:footnote>
  <w:footnote w:id="8">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proofErr w:type="spellStart"/>
      <w:r w:rsidRPr="008A6C1B">
        <w:rPr>
          <w:rFonts w:hint="cs"/>
          <w:sz w:val="16"/>
          <w:szCs w:val="16"/>
          <w:rtl/>
        </w:rPr>
        <w:t>תוס</w:t>
      </w:r>
      <w:proofErr w:type="spellEnd"/>
      <w:r w:rsidRPr="008A6C1B">
        <w:rPr>
          <w:rFonts w:hint="cs"/>
          <w:sz w:val="16"/>
          <w:szCs w:val="16"/>
          <w:rtl/>
        </w:rPr>
        <w:t>' בע"ז.</w:t>
      </w:r>
    </w:p>
  </w:footnote>
  <w:footnote w:id="9">
    <w:p w:rsidR="00A360DE" w:rsidRPr="008A6C1B" w:rsidRDefault="00A360DE" w:rsidP="005D182F">
      <w:pPr>
        <w:pStyle w:val="a3"/>
        <w:rPr>
          <w:sz w:val="16"/>
          <w:szCs w:val="16"/>
        </w:rPr>
      </w:pPr>
      <w:r w:rsidRPr="008A6C1B">
        <w:rPr>
          <w:rStyle w:val="a5"/>
          <w:sz w:val="16"/>
          <w:szCs w:val="16"/>
        </w:rPr>
        <w:footnoteRef/>
      </w:r>
      <w:r w:rsidRPr="008A6C1B">
        <w:rPr>
          <w:sz w:val="16"/>
          <w:szCs w:val="16"/>
          <w:rtl/>
        </w:rPr>
        <w:t xml:space="preserve"> </w:t>
      </w:r>
      <w:proofErr w:type="spellStart"/>
      <w:r w:rsidRPr="008A6C1B">
        <w:rPr>
          <w:rFonts w:hint="cs"/>
          <w:sz w:val="16"/>
          <w:szCs w:val="16"/>
          <w:rtl/>
        </w:rPr>
        <w:t>ר"ן</w:t>
      </w:r>
      <w:proofErr w:type="spellEnd"/>
      <w:r w:rsidRPr="008A6C1B">
        <w:rPr>
          <w:rFonts w:hint="cs"/>
          <w:sz w:val="16"/>
          <w:szCs w:val="16"/>
          <w:rtl/>
        </w:rPr>
        <w:t xml:space="preserve"> בחולין</w:t>
      </w:r>
      <w:r>
        <w:rPr>
          <w:rFonts w:hint="cs"/>
          <w:sz w:val="16"/>
          <w:szCs w:val="16"/>
          <w:rtl/>
        </w:rPr>
        <w:t xml:space="preserve"> (וביאר שאם </w:t>
      </w:r>
      <w:proofErr w:type="spellStart"/>
      <w:r>
        <w:rPr>
          <w:rFonts w:hint="cs"/>
          <w:sz w:val="16"/>
          <w:szCs w:val="16"/>
          <w:rtl/>
        </w:rPr>
        <w:t>ריחא</w:t>
      </w:r>
      <w:proofErr w:type="spellEnd"/>
      <w:r>
        <w:rPr>
          <w:rFonts w:hint="cs"/>
          <w:sz w:val="16"/>
          <w:szCs w:val="16"/>
          <w:rtl/>
        </w:rPr>
        <w:t xml:space="preserve"> מילתא לא יועיל מה שאינו מתכוון, משום שהמתעסק </w:t>
      </w:r>
      <w:proofErr w:type="spellStart"/>
      <w:r>
        <w:rPr>
          <w:rFonts w:hint="cs"/>
          <w:sz w:val="16"/>
          <w:szCs w:val="16"/>
          <w:rtl/>
        </w:rPr>
        <w:t>בחלבים</w:t>
      </w:r>
      <w:proofErr w:type="spellEnd"/>
      <w:r>
        <w:rPr>
          <w:rFonts w:hint="cs"/>
          <w:sz w:val="16"/>
          <w:szCs w:val="16"/>
          <w:rtl/>
        </w:rPr>
        <w:t xml:space="preserve"> ועריות חייב. ולכאורה הכוונה שאיסור אכילה הוא איסור מצב, וממילא לא שייך בו היתר דאינו מתכוון שיסודו בהלכות מעשה)</w:t>
      </w:r>
      <w:r w:rsidRPr="008A6C1B">
        <w:rPr>
          <w:rFonts w:hint="cs"/>
          <w:sz w:val="16"/>
          <w:szCs w:val="16"/>
          <w:rtl/>
        </w:rPr>
        <w:t xml:space="preserve">. [ודעת </w:t>
      </w:r>
      <w:proofErr w:type="spellStart"/>
      <w:r w:rsidRPr="008A6C1B">
        <w:rPr>
          <w:rFonts w:hint="cs"/>
          <w:sz w:val="16"/>
          <w:szCs w:val="16"/>
          <w:rtl/>
        </w:rPr>
        <w:t>הרשב"א</w:t>
      </w:r>
      <w:proofErr w:type="spellEnd"/>
      <w:r w:rsidRPr="008A6C1B">
        <w:rPr>
          <w:rFonts w:hint="cs"/>
          <w:sz w:val="16"/>
          <w:szCs w:val="16"/>
          <w:rtl/>
        </w:rPr>
        <w:t xml:space="preserve"> בתשובה שם, שאם </w:t>
      </w:r>
      <w:proofErr w:type="spellStart"/>
      <w:r w:rsidRPr="008A6C1B">
        <w:rPr>
          <w:rFonts w:hint="cs"/>
          <w:sz w:val="16"/>
          <w:szCs w:val="16"/>
          <w:rtl/>
        </w:rPr>
        <w:t>מיירי</w:t>
      </w:r>
      <w:proofErr w:type="spellEnd"/>
      <w:r w:rsidRPr="008A6C1B">
        <w:rPr>
          <w:rFonts w:hint="cs"/>
          <w:sz w:val="16"/>
          <w:szCs w:val="16"/>
          <w:rtl/>
        </w:rPr>
        <w:t xml:space="preserve"> במריח דרך האף, לא שייך לומר שאינו מתכוון, </w:t>
      </w:r>
      <w:proofErr w:type="spellStart"/>
      <w:r w:rsidRPr="008A6C1B">
        <w:rPr>
          <w:rFonts w:hint="cs"/>
          <w:sz w:val="16"/>
          <w:szCs w:val="16"/>
          <w:rtl/>
        </w:rPr>
        <w:t>דהא</w:t>
      </w:r>
      <w:proofErr w:type="spellEnd"/>
      <w:r w:rsidRPr="008A6C1B">
        <w:rPr>
          <w:rFonts w:hint="cs"/>
          <w:sz w:val="16"/>
          <w:szCs w:val="16"/>
          <w:rtl/>
        </w:rPr>
        <w:t xml:space="preserve"> זהו גופא מעשהו. אמנם </w:t>
      </w:r>
      <w:proofErr w:type="spellStart"/>
      <w:r w:rsidRPr="008A6C1B">
        <w:rPr>
          <w:rFonts w:hint="cs"/>
          <w:sz w:val="16"/>
          <w:szCs w:val="16"/>
          <w:rtl/>
        </w:rPr>
        <w:t>בבעה"מ</w:t>
      </w:r>
      <w:proofErr w:type="spellEnd"/>
      <w:r w:rsidRPr="008A6C1B">
        <w:rPr>
          <w:rFonts w:hint="cs"/>
          <w:sz w:val="16"/>
          <w:szCs w:val="16"/>
          <w:rtl/>
        </w:rPr>
        <w:t xml:space="preserve"> בפסחים פרק כיצד </w:t>
      </w:r>
      <w:proofErr w:type="spellStart"/>
      <w:r w:rsidRPr="008A6C1B">
        <w:rPr>
          <w:rFonts w:hint="cs"/>
          <w:sz w:val="16"/>
          <w:szCs w:val="16"/>
          <w:rtl/>
        </w:rPr>
        <w:t>צולין</w:t>
      </w:r>
      <w:proofErr w:type="spellEnd"/>
      <w:r w:rsidRPr="008A6C1B">
        <w:rPr>
          <w:rFonts w:hint="cs"/>
          <w:sz w:val="16"/>
          <w:szCs w:val="16"/>
          <w:rtl/>
        </w:rPr>
        <w:t xml:space="preserve"> מבואר שאף </w:t>
      </w:r>
      <w:proofErr w:type="spellStart"/>
      <w:r w:rsidRPr="008A6C1B">
        <w:rPr>
          <w:rFonts w:hint="cs"/>
          <w:sz w:val="16"/>
          <w:szCs w:val="16"/>
          <w:rtl/>
        </w:rPr>
        <w:t>שמיירי</w:t>
      </w:r>
      <w:proofErr w:type="spellEnd"/>
      <w:r w:rsidRPr="008A6C1B">
        <w:rPr>
          <w:rFonts w:hint="cs"/>
          <w:sz w:val="16"/>
          <w:szCs w:val="16"/>
          <w:rtl/>
        </w:rPr>
        <w:t xml:space="preserve"> במריח דרך הפה, מוגדר אינו מתכוון, כיון שאין כוונתו להנאת הריח, אלא רק לבדיקה.]</w:t>
      </w:r>
      <w:r>
        <w:rPr>
          <w:rFonts w:hint="cs"/>
          <w:sz w:val="16"/>
          <w:szCs w:val="16"/>
          <w:rtl/>
        </w:rPr>
        <w:t xml:space="preserve"> </w:t>
      </w:r>
    </w:p>
  </w:footnote>
  <w:footnote w:id="10">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proofErr w:type="spellStart"/>
      <w:r w:rsidRPr="008A6C1B">
        <w:rPr>
          <w:rFonts w:hint="cs"/>
          <w:sz w:val="16"/>
          <w:szCs w:val="16"/>
          <w:rtl/>
        </w:rPr>
        <w:t>ר"ן</w:t>
      </w:r>
      <w:proofErr w:type="spellEnd"/>
      <w:r w:rsidRPr="008A6C1B">
        <w:rPr>
          <w:rFonts w:hint="cs"/>
          <w:sz w:val="16"/>
          <w:szCs w:val="16"/>
          <w:rtl/>
        </w:rPr>
        <w:t xml:space="preserve"> בע"ז, והביאו </w:t>
      </w:r>
      <w:proofErr w:type="spellStart"/>
      <w:r w:rsidRPr="008A6C1B">
        <w:rPr>
          <w:rFonts w:hint="cs"/>
          <w:sz w:val="16"/>
          <w:szCs w:val="16"/>
          <w:rtl/>
        </w:rPr>
        <w:t>הגר"א</w:t>
      </w:r>
      <w:proofErr w:type="spellEnd"/>
      <w:r w:rsidRPr="008A6C1B">
        <w:rPr>
          <w:rFonts w:hint="cs"/>
          <w:sz w:val="16"/>
          <w:szCs w:val="16"/>
          <w:rtl/>
        </w:rPr>
        <w:t xml:space="preserve">. [והיינו כפי שביארו הראשונים את המציאות של בת </w:t>
      </w:r>
      <w:proofErr w:type="spellStart"/>
      <w:r w:rsidRPr="008A6C1B">
        <w:rPr>
          <w:rFonts w:hint="cs"/>
          <w:sz w:val="16"/>
          <w:szCs w:val="16"/>
          <w:rtl/>
        </w:rPr>
        <w:t>תיהא</w:t>
      </w:r>
      <w:proofErr w:type="spellEnd"/>
      <w:r w:rsidRPr="008A6C1B">
        <w:rPr>
          <w:rFonts w:hint="cs"/>
          <w:sz w:val="16"/>
          <w:szCs w:val="16"/>
          <w:rtl/>
        </w:rPr>
        <w:t xml:space="preserve">. אבל </w:t>
      </w:r>
      <w:proofErr w:type="spellStart"/>
      <w:r w:rsidRPr="008A6C1B">
        <w:rPr>
          <w:rFonts w:hint="cs"/>
          <w:sz w:val="16"/>
          <w:szCs w:val="16"/>
          <w:rtl/>
        </w:rPr>
        <w:t>תוס</w:t>
      </w:r>
      <w:proofErr w:type="spellEnd"/>
      <w:r w:rsidRPr="008A6C1B">
        <w:rPr>
          <w:rFonts w:hint="cs"/>
          <w:sz w:val="16"/>
          <w:szCs w:val="16"/>
          <w:rtl/>
        </w:rPr>
        <w:t xml:space="preserve">' </w:t>
      </w:r>
      <w:proofErr w:type="spellStart"/>
      <w:r w:rsidRPr="008A6C1B">
        <w:rPr>
          <w:rFonts w:hint="cs"/>
          <w:sz w:val="16"/>
          <w:szCs w:val="16"/>
          <w:rtl/>
        </w:rPr>
        <w:t>ס"ל</w:t>
      </w:r>
      <w:proofErr w:type="spellEnd"/>
      <w:r w:rsidRPr="008A6C1B">
        <w:rPr>
          <w:rFonts w:hint="cs"/>
          <w:sz w:val="16"/>
          <w:szCs w:val="16"/>
          <w:rtl/>
        </w:rPr>
        <w:t xml:space="preserve"> </w:t>
      </w:r>
      <w:proofErr w:type="spellStart"/>
      <w:r w:rsidRPr="008A6C1B">
        <w:rPr>
          <w:rFonts w:hint="cs"/>
          <w:sz w:val="16"/>
          <w:szCs w:val="16"/>
          <w:rtl/>
        </w:rPr>
        <w:t>שמיירי</w:t>
      </w:r>
      <w:proofErr w:type="spellEnd"/>
      <w:r w:rsidRPr="008A6C1B">
        <w:rPr>
          <w:rFonts w:hint="cs"/>
          <w:sz w:val="16"/>
          <w:szCs w:val="16"/>
          <w:rtl/>
        </w:rPr>
        <w:t xml:space="preserve"> בהרחה דרך האף, </w:t>
      </w:r>
      <w:proofErr w:type="spellStart"/>
      <w:r w:rsidRPr="008A6C1B">
        <w:rPr>
          <w:rFonts w:hint="cs"/>
          <w:sz w:val="16"/>
          <w:szCs w:val="16"/>
          <w:rtl/>
        </w:rPr>
        <w:t>וכדלעיל</w:t>
      </w:r>
      <w:proofErr w:type="spellEnd"/>
      <w:r w:rsidRPr="008A6C1B">
        <w:rPr>
          <w:rFonts w:hint="cs"/>
          <w:sz w:val="16"/>
          <w:szCs w:val="16"/>
          <w:rtl/>
        </w:rPr>
        <w:t>.]</w:t>
      </w:r>
    </w:p>
  </w:footnote>
  <w:footnote w:id="11">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ולרש"י </w:t>
      </w:r>
      <w:r w:rsidRPr="008A6C1B">
        <w:rPr>
          <w:sz w:val="16"/>
          <w:szCs w:val="16"/>
          <w:rtl/>
        </w:rPr>
        <w:t>–</w:t>
      </w:r>
      <w:r w:rsidRPr="008A6C1B">
        <w:rPr>
          <w:rFonts w:hint="cs"/>
          <w:sz w:val="16"/>
          <w:szCs w:val="16"/>
          <w:rtl/>
        </w:rPr>
        <w:t xml:space="preserve"> אף פת של שעורים לא </w:t>
      </w:r>
      <w:proofErr w:type="spellStart"/>
      <w:r w:rsidRPr="008A6C1B">
        <w:rPr>
          <w:rFonts w:hint="cs"/>
          <w:sz w:val="16"/>
          <w:szCs w:val="16"/>
          <w:rtl/>
        </w:rPr>
        <w:t>תאסר</w:t>
      </w:r>
      <w:proofErr w:type="spellEnd"/>
      <w:r w:rsidRPr="008A6C1B">
        <w:rPr>
          <w:rFonts w:hint="cs"/>
          <w:sz w:val="16"/>
          <w:szCs w:val="16"/>
          <w:rtl/>
        </w:rPr>
        <w:t xml:space="preserve"> אם </w:t>
      </w:r>
      <w:proofErr w:type="spellStart"/>
      <w:r w:rsidRPr="008A6C1B">
        <w:rPr>
          <w:rFonts w:hint="cs"/>
          <w:sz w:val="16"/>
          <w:szCs w:val="16"/>
          <w:rtl/>
        </w:rPr>
        <w:t>ריחא</w:t>
      </w:r>
      <w:proofErr w:type="spellEnd"/>
      <w:r w:rsidRPr="008A6C1B">
        <w:rPr>
          <w:rFonts w:hint="cs"/>
          <w:sz w:val="16"/>
          <w:szCs w:val="16"/>
          <w:rtl/>
        </w:rPr>
        <w:t xml:space="preserve"> לאו  מילתא, אבל </w:t>
      </w:r>
      <w:proofErr w:type="spellStart"/>
      <w:r w:rsidRPr="008A6C1B">
        <w:rPr>
          <w:rFonts w:hint="cs"/>
          <w:sz w:val="16"/>
          <w:szCs w:val="16"/>
          <w:rtl/>
        </w:rPr>
        <w:t>לרי"ף</w:t>
      </w:r>
      <w:proofErr w:type="spellEnd"/>
      <w:r w:rsidRPr="008A6C1B">
        <w:rPr>
          <w:rFonts w:hint="cs"/>
          <w:sz w:val="16"/>
          <w:szCs w:val="16"/>
          <w:rtl/>
        </w:rPr>
        <w:t xml:space="preserve"> </w:t>
      </w:r>
      <w:r w:rsidRPr="008A6C1B">
        <w:rPr>
          <w:sz w:val="16"/>
          <w:szCs w:val="16"/>
          <w:rtl/>
        </w:rPr>
        <w:t>–</w:t>
      </w:r>
      <w:r w:rsidRPr="008A6C1B">
        <w:rPr>
          <w:rFonts w:hint="cs"/>
          <w:sz w:val="16"/>
          <w:szCs w:val="16"/>
          <w:rtl/>
        </w:rPr>
        <w:t xml:space="preserve"> כיון ששואבת, נאסרת אליבא </w:t>
      </w:r>
      <w:proofErr w:type="spellStart"/>
      <w:r w:rsidRPr="008A6C1B">
        <w:rPr>
          <w:rFonts w:hint="cs"/>
          <w:sz w:val="16"/>
          <w:szCs w:val="16"/>
          <w:rtl/>
        </w:rPr>
        <w:t>דכ"ע</w:t>
      </w:r>
      <w:proofErr w:type="spellEnd"/>
      <w:r w:rsidRPr="008A6C1B">
        <w:rPr>
          <w:rFonts w:hint="cs"/>
          <w:sz w:val="16"/>
          <w:szCs w:val="16"/>
          <w:rtl/>
        </w:rPr>
        <w:t>.</w:t>
      </w:r>
    </w:p>
  </w:footnote>
  <w:footnote w:id="12">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כרב.</w:t>
      </w:r>
    </w:p>
  </w:footnote>
  <w:footnote w:id="13">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דאף לוי מודה לכתחילה. ואף שבירושלמי מפורש שלוי מתיר אף לכתחילה, דעת הבבלי אינה כן. (ובטעם הדבר </w:t>
      </w:r>
      <w:r w:rsidRPr="008A6C1B">
        <w:rPr>
          <w:sz w:val="16"/>
          <w:szCs w:val="16"/>
          <w:rtl/>
        </w:rPr>
        <w:t>–</w:t>
      </w:r>
      <w:r w:rsidRPr="008A6C1B">
        <w:rPr>
          <w:rFonts w:hint="cs"/>
          <w:sz w:val="16"/>
          <w:szCs w:val="16"/>
          <w:rtl/>
        </w:rPr>
        <w:t xml:space="preserve"> עי' חידושי </w:t>
      </w:r>
      <w:proofErr w:type="spellStart"/>
      <w:r w:rsidRPr="008A6C1B">
        <w:rPr>
          <w:rFonts w:hint="cs"/>
          <w:sz w:val="16"/>
          <w:szCs w:val="16"/>
          <w:rtl/>
        </w:rPr>
        <w:t>רעק"א</w:t>
      </w:r>
      <w:proofErr w:type="spellEnd"/>
      <w:r w:rsidRPr="008A6C1B">
        <w:rPr>
          <w:rFonts w:hint="cs"/>
          <w:sz w:val="16"/>
          <w:szCs w:val="16"/>
          <w:rtl/>
        </w:rPr>
        <w:t xml:space="preserve"> שכתב שהוא משום שלכתחילה חשש לוי לשיטות התנאים שסברי </w:t>
      </w:r>
      <w:proofErr w:type="spellStart"/>
      <w:r w:rsidRPr="008A6C1B">
        <w:rPr>
          <w:rFonts w:hint="cs"/>
          <w:sz w:val="16"/>
          <w:szCs w:val="16"/>
          <w:rtl/>
        </w:rPr>
        <w:t>שריחא</w:t>
      </w:r>
      <w:proofErr w:type="spellEnd"/>
      <w:r w:rsidRPr="008A6C1B">
        <w:rPr>
          <w:rFonts w:hint="cs"/>
          <w:sz w:val="16"/>
          <w:szCs w:val="16"/>
          <w:rtl/>
        </w:rPr>
        <w:t xml:space="preserve"> מילתא. אמנם לכאורה מהא דיש מקרים שהקלו אף לכתחילה </w:t>
      </w:r>
      <w:r w:rsidRPr="008A6C1B">
        <w:rPr>
          <w:sz w:val="16"/>
          <w:szCs w:val="16"/>
          <w:rtl/>
        </w:rPr>
        <w:t>–</w:t>
      </w:r>
      <w:r w:rsidRPr="008A6C1B">
        <w:rPr>
          <w:rFonts w:hint="cs"/>
          <w:sz w:val="16"/>
          <w:szCs w:val="16"/>
          <w:rtl/>
        </w:rPr>
        <w:t xml:space="preserve"> כהרחת יין, נראה יותר שהוא </w:t>
      </w:r>
      <w:proofErr w:type="spellStart"/>
      <w:r w:rsidRPr="008A6C1B">
        <w:rPr>
          <w:rFonts w:hint="cs"/>
          <w:sz w:val="16"/>
          <w:szCs w:val="16"/>
          <w:rtl/>
        </w:rPr>
        <w:t>חומרא</w:t>
      </w:r>
      <w:proofErr w:type="spellEnd"/>
      <w:r w:rsidRPr="008A6C1B">
        <w:rPr>
          <w:rFonts w:hint="cs"/>
          <w:sz w:val="16"/>
          <w:szCs w:val="16"/>
          <w:rtl/>
        </w:rPr>
        <w:t xml:space="preserve"> בעלמא שראו להחמיר במקומות </w:t>
      </w:r>
      <w:proofErr w:type="spellStart"/>
      <w:r w:rsidRPr="008A6C1B">
        <w:rPr>
          <w:rFonts w:hint="cs"/>
          <w:sz w:val="16"/>
          <w:szCs w:val="16"/>
          <w:rtl/>
        </w:rPr>
        <w:t>מסויימים</w:t>
      </w:r>
      <w:proofErr w:type="spellEnd"/>
      <w:r w:rsidRPr="008A6C1B">
        <w:rPr>
          <w:rFonts w:hint="cs"/>
          <w:sz w:val="16"/>
          <w:szCs w:val="16"/>
          <w:rtl/>
        </w:rPr>
        <w:t>.)</w:t>
      </w:r>
    </w:p>
  </w:footnote>
  <w:footnote w:id="14">
    <w:p w:rsidR="00A360DE" w:rsidRPr="008A6C1B" w:rsidRDefault="00A360DE">
      <w:pPr>
        <w:pStyle w:val="a3"/>
        <w:rPr>
          <w:sz w:val="16"/>
          <w:szCs w:val="16"/>
        </w:rPr>
      </w:pPr>
      <w:r w:rsidRPr="008A6C1B">
        <w:rPr>
          <w:rStyle w:val="a5"/>
          <w:sz w:val="16"/>
          <w:szCs w:val="16"/>
        </w:rPr>
        <w:footnoteRef/>
      </w:r>
      <w:r w:rsidRPr="008A6C1B">
        <w:rPr>
          <w:sz w:val="16"/>
          <w:szCs w:val="16"/>
          <w:rtl/>
        </w:rPr>
        <w:t xml:space="preserve"> </w:t>
      </w:r>
      <w:r w:rsidRPr="008A6C1B">
        <w:rPr>
          <w:rFonts w:hint="cs"/>
          <w:sz w:val="16"/>
          <w:szCs w:val="16"/>
          <w:rtl/>
        </w:rPr>
        <w:t>ואף שלגבי צליה התרנו רק בדיעבד, הרחה גרידא קלה יותר.</w:t>
      </w:r>
    </w:p>
  </w:footnote>
  <w:footnote w:id="15">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וזהו הטעם שנפסק, </w:t>
      </w:r>
      <w:proofErr w:type="spellStart"/>
      <w:r w:rsidRPr="008A6C1B">
        <w:rPr>
          <w:rFonts w:hint="cs"/>
          <w:sz w:val="16"/>
          <w:szCs w:val="16"/>
          <w:rtl/>
        </w:rPr>
        <w:t>וכדלהלן</w:t>
      </w:r>
      <w:proofErr w:type="spellEnd"/>
      <w:r w:rsidRPr="008A6C1B">
        <w:rPr>
          <w:rFonts w:hint="cs"/>
          <w:sz w:val="16"/>
          <w:szCs w:val="16"/>
          <w:rtl/>
        </w:rPr>
        <w:t>.</w:t>
      </w:r>
    </w:p>
  </w:footnote>
  <w:footnote w:id="16">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והוא כדעת </w:t>
      </w:r>
      <w:proofErr w:type="spellStart"/>
      <w:r w:rsidRPr="008A6C1B">
        <w:rPr>
          <w:rFonts w:hint="cs"/>
          <w:sz w:val="16"/>
          <w:szCs w:val="16"/>
          <w:rtl/>
        </w:rPr>
        <w:t>התוס</w:t>
      </w:r>
      <w:proofErr w:type="spellEnd"/>
      <w:r w:rsidRPr="008A6C1B">
        <w:rPr>
          <w:rFonts w:hint="cs"/>
          <w:sz w:val="16"/>
          <w:szCs w:val="16"/>
          <w:rtl/>
        </w:rPr>
        <w:t xml:space="preserve">' בע"ז שלמסקנת </w:t>
      </w:r>
      <w:proofErr w:type="spellStart"/>
      <w:r w:rsidRPr="008A6C1B">
        <w:rPr>
          <w:rFonts w:hint="cs"/>
          <w:sz w:val="16"/>
          <w:szCs w:val="16"/>
          <w:rtl/>
        </w:rPr>
        <w:t>הסוגיא</w:t>
      </w:r>
      <w:proofErr w:type="spellEnd"/>
      <w:r w:rsidRPr="008A6C1B">
        <w:rPr>
          <w:rFonts w:hint="cs"/>
          <w:sz w:val="16"/>
          <w:szCs w:val="16"/>
          <w:rtl/>
        </w:rPr>
        <w:t xml:space="preserve"> כולם יודו </w:t>
      </w:r>
      <w:proofErr w:type="spellStart"/>
      <w:r w:rsidRPr="008A6C1B">
        <w:rPr>
          <w:rFonts w:hint="cs"/>
          <w:sz w:val="16"/>
          <w:szCs w:val="16"/>
          <w:rtl/>
        </w:rPr>
        <w:t>בכה"ג</w:t>
      </w:r>
      <w:proofErr w:type="spellEnd"/>
      <w:r w:rsidRPr="008A6C1B">
        <w:rPr>
          <w:rFonts w:hint="cs"/>
          <w:sz w:val="16"/>
          <w:szCs w:val="16"/>
          <w:rtl/>
        </w:rPr>
        <w:t xml:space="preserve"> לאיסור, </w:t>
      </w:r>
      <w:proofErr w:type="spellStart"/>
      <w:r w:rsidRPr="008A6C1B">
        <w:rPr>
          <w:rFonts w:hint="cs"/>
          <w:sz w:val="16"/>
          <w:szCs w:val="16"/>
          <w:rtl/>
        </w:rPr>
        <w:t>דחמיר</w:t>
      </w:r>
      <w:proofErr w:type="spellEnd"/>
      <w:r w:rsidRPr="008A6C1B">
        <w:rPr>
          <w:rFonts w:hint="cs"/>
          <w:sz w:val="16"/>
          <w:szCs w:val="16"/>
          <w:rtl/>
        </w:rPr>
        <w:t xml:space="preserve"> טפי מסתם </w:t>
      </w:r>
      <w:proofErr w:type="spellStart"/>
      <w:r w:rsidRPr="008A6C1B">
        <w:rPr>
          <w:rFonts w:hint="cs"/>
          <w:sz w:val="16"/>
          <w:szCs w:val="16"/>
          <w:rtl/>
        </w:rPr>
        <w:t>ריחא</w:t>
      </w:r>
      <w:proofErr w:type="spellEnd"/>
      <w:r w:rsidRPr="008A6C1B">
        <w:rPr>
          <w:rFonts w:hint="cs"/>
          <w:sz w:val="16"/>
          <w:szCs w:val="16"/>
          <w:rtl/>
        </w:rPr>
        <w:t>.</w:t>
      </w:r>
    </w:p>
  </w:footnote>
  <w:footnote w:id="17">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אבל מסתימת המחבר משמע שלא חילק, וכן משמע לשון </w:t>
      </w:r>
      <w:proofErr w:type="spellStart"/>
      <w:r w:rsidRPr="008A6C1B">
        <w:rPr>
          <w:rFonts w:hint="cs"/>
          <w:sz w:val="16"/>
          <w:szCs w:val="16"/>
          <w:rtl/>
        </w:rPr>
        <w:t>הש"ך</w:t>
      </w:r>
      <w:proofErr w:type="spellEnd"/>
      <w:r w:rsidRPr="008A6C1B">
        <w:rPr>
          <w:rFonts w:hint="cs"/>
          <w:sz w:val="16"/>
          <w:szCs w:val="16"/>
          <w:rtl/>
        </w:rPr>
        <w:t xml:space="preserve">, וכן חלק הב"י בסוף סי' צ"ז על דין האגור. </w:t>
      </w:r>
    </w:p>
  </w:footnote>
  <w:footnote w:id="18">
    <w:p w:rsidR="00A360DE" w:rsidRPr="008A6C1B" w:rsidRDefault="00A360DE" w:rsidP="00744DF0">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רמ"א שם בשם האגור. ועי' </w:t>
      </w:r>
      <w:proofErr w:type="spellStart"/>
      <w:r w:rsidRPr="008A6C1B">
        <w:rPr>
          <w:rFonts w:hint="cs"/>
          <w:sz w:val="16"/>
          <w:szCs w:val="16"/>
          <w:rtl/>
        </w:rPr>
        <w:t>ש"ך</w:t>
      </w:r>
      <w:proofErr w:type="spellEnd"/>
      <w:r w:rsidRPr="008A6C1B">
        <w:rPr>
          <w:rFonts w:hint="cs"/>
          <w:sz w:val="16"/>
          <w:szCs w:val="16"/>
          <w:rtl/>
        </w:rPr>
        <w:t xml:space="preserve"> </w:t>
      </w:r>
      <w:proofErr w:type="spellStart"/>
      <w:r w:rsidRPr="008A6C1B">
        <w:rPr>
          <w:rFonts w:hint="cs"/>
          <w:sz w:val="16"/>
          <w:szCs w:val="16"/>
          <w:rtl/>
        </w:rPr>
        <w:t>סק"ו</w:t>
      </w:r>
      <w:proofErr w:type="spellEnd"/>
      <w:r w:rsidRPr="008A6C1B">
        <w:rPr>
          <w:rFonts w:hint="cs"/>
          <w:sz w:val="16"/>
          <w:szCs w:val="16"/>
          <w:rtl/>
        </w:rPr>
        <w:t xml:space="preserve"> </w:t>
      </w:r>
      <w:proofErr w:type="spellStart"/>
      <w:r w:rsidRPr="008A6C1B">
        <w:rPr>
          <w:rFonts w:hint="cs"/>
          <w:sz w:val="16"/>
          <w:szCs w:val="16"/>
          <w:rtl/>
        </w:rPr>
        <w:t>ופמ"ג</w:t>
      </w:r>
      <w:proofErr w:type="spellEnd"/>
      <w:r w:rsidRPr="008A6C1B">
        <w:rPr>
          <w:rFonts w:hint="cs"/>
          <w:sz w:val="16"/>
          <w:szCs w:val="16"/>
          <w:rtl/>
        </w:rPr>
        <w:t xml:space="preserve"> שם שהחמירו </w:t>
      </w:r>
      <w:proofErr w:type="spellStart"/>
      <w:r w:rsidRPr="008A6C1B">
        <w:rPr>
          <w:rFonts w:hint="cs"/>
          <w:sz w:val="16"/>
          <w:szCs w:val="16"/>
          <w:rtl/>
        </w:rPr>
        <w:t>חומרא</w:t>
      </w:r>
      <w:proofErr w:type="spellEnd"/>
      <w:r w:rsidRPr="008A6C1B">
        <w:rPr>
          <w:rFonts w:hint="cs"/>
          <w:sz w:val="16"/>
          <w:szCs w:val="16"/>
          <w:rtl/>
        </w:rPr>
        <w:t xml:space="preserve"> זו דווקא בפת.</w:t>
      </w:r>
    </w:p>
  </w:footnote>
  <w:footnote w:id="19">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רמ"א מסברת עצמו [ומוכח שמה </w:t>
      </w:r>
      <w:proofErr w:type="spellStart"/>
      <w:r w:rsidRPr="008A6C1B">
        <w:rPr>
          <w:rFonts w:hint="cs"/>
          <w:sz w:val="16"/>
          <w:szCs w:val="16"/>
          <w:rtl/>
        </w:rPr>
        <w:t>שאסרינן</w:t>
      </w:r>
      <w:proofErr w:type="spellEnd"/>
      <w:r w:rsidRPr="008A6C1B">
        <w:rPr>
          <w:rFonts w:hint="cs"/>
          <w:sz w:val="16"/>
          <w:szCs w:val="16"/>
          <w:rtl/>
        </w:rPr>
        <w:t xml:space="preserve"> לכתחילה הוא  לא משום דבר שיש לו מתירים </w:t>
      </w:r>
      <w:r w:rsidRPr="008A6C1B">
        <w:rPr>
          <w:sz w:val="16"/>
          <w:szCs w:val="16"/>
          <w:rtl/>
        </w:rPr>
        <w:t>–</w:t>
      </w:r>
      <w:r w:rsidRPr="008A6C1B">
        <w:rPr>
          <w:rFonts w:hint="cs"/>
          <w:sz w:val="16"/>
          <w:szCs w:val="16"/>
          <w:rtl/>
        </w:rPr>
        <w:t xml:space="preserve"> </w:t>
      </w:r>
      <w:proofErr w:type="spellStart"/>
      <w:r w:rsidRPr="008A6C1B">
        <w:rPr>
          <w:rFonts w:hint="cs"/>
          <w:sz w:val="16"/>
          <w:szCs w:val="16"/>
          <w:rtl/>
        </w:rPr>
        <w:t>הגר"א</w:t>
      </w:r>
      <w:proofErr w:type="spellEnd"/>
      <w:r w:rsidRPr="008A6C1B">
        <w:rPr>
          <w:rFonts w:hint="cs"/>
          <w:sz w:val="16"/>
          <w:szCs w:val="16"/>
          <w:rtl/>
        </w:rPr>
        <w:t xml:space="preserve"> שם. ועי' בדבריו </w:t>
      </w:r>
      <w:proofErr w:type="spellStart"/>
      <w:r w:rsidRPr="008A6C1B">
        <w:rPr>
          <w:rFonts w:hint="cs"/>
          <w:sz w:val="16"/>
          <w:szCs w:val="16"/>
          <w:rtl/>
        </w:rPr>
        <w:t>דאיהו</w:t>
      </w:r>
      <w:proofErr w:type="spellEnd"/>
      <w:r w:rsidRPr="008A6C1B">
        <w:rPr>
          <w:rFonts w:hint="cs"/>
          <w:sz w:val="16"/>
          <w:szCs w:val="16"/>
          <w:rtl/>
        </w:rPr>
        <w:t xml:space="preserve"> פליג על היתר זה.]</w:t>
      </w:r>
    </w:p>
  </w:footnote>
  <w:footnote w:id="20">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ש"ד </w:t>
      </w:r>
      <w:proofErr w:type="spellStart"/>
      <w:r w:rsidRPr="008A6C1B">
        <w:rPr>
          <w:rFonts w:hint="cs"/>
          <w:sz w:val="16"/>
          <w:szCs w:val="16"/>
          <w:rtl/>
        </w:rPr>
        <w:t>סק"ב</w:t>
      </w:r>
      <w:proofErr w:type="spellEnd"/>
      <w:r w:rsidRPr="008A6C1B">
        <w:rPr>
          <w:rFonts w:hint="cs"/>
          <w:sz w:val="16"/>
          <w:szCs w:val="16"/>
          <w:rtl/>
        </w:rPr>
        <w:t>.</w:t>
      </w:r>
    </w:p>
  </w:footnote>
  <w:footnote w:id="21">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ולא הוי כפת שנילושה בשומן בשר שגזרו בה שמא יבואו לאכלה </w:t>
      </w:r>
      <w:proofErr w:type="spellStart"/>
      <w:r w:rsidRPr="008A6C1B">
        <w:rPr>
          <w:rFonts w:hint="cs"/>
          <w:sz w:val="16"/>
          <w:szCs w:val="16"/>
          <w:rtl/>
        </w:rPr>
        <w:t>בכותח</w:t>
      </w:r>
      <w:proofErr w:type="spellEnd"/>
      <w:r w:rsidRPr="008A6C1B">
        <w:rPr>
          <w:rFonts w:hint="cs"/>
          <w:sz w:val="16"/>
          <w:szCs w:val="16"/>
          <w:rtl/>
        </w:rPr>
        <w:t>.</w:t>
      </w:r>
    </w:p>
  </w:footnote>
  <w:footnote w:id="22">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proofErr w:type="spellStart"/>
      <w:r w:rsidRPr="008A6C1B">
        <w:rPr>
          <w:rFonts w:hint="cs"/>
          <w:sz w:val="16"/>
          <w:szCs w:val="16"/>
          <w:rtl/>
        </w:rPr>
        <w:t>ודלא</w:t>
      </w:r>
      <w:proofErr w:type="spellEnd"/>
      <w:r w:rsidRPr="008A6C1B">
        <w:rPr>
          <w:rFonts w:hint="cs"/>
          <w:sz w:val="16"/>
          <w:szCs w:val="16"/>
          <w:rtl/>
        </w:rPr>
        <w:t xml:space="preserve"> </w:t>
      </w:r>
      <w:proofErr w:type="spellStart"/>
      <w:r w:rsidRPr="008A6C1B">
        <w:rPr>
          <w:rFonts w:hint="cs"/>
          <w:sz w:val="16"/>
          <w:szCs w:val="16"/>
          <w:rtl/>
        </w:rPr>
        <w:t>כהתו"ח</w:t>
      </w:r>
      <w:proofErr w:type="spellEnd"/>
      <w:r w:rsidRPr="008A6C1B">
        <w:rPr>
          <w:rFonts w:hint="cs"/>
          <w:sz w:val="16"/>
          <w:szCs w:val="16"/>
          <w:rtl/>
        </w:rPr>
        <w:t xml:space="preserve"> שכתב בשם הב"י לפקפק בזה.</w:t>
      </w:r>
    </w:p>
  </w:footnote>
  <w:footnote w:id="23">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ט"ז </w:t>
      </w:r>
      <w:proofErr w:type="spellStart"/>
      <w:r w:rsidRPr="008A6C1B">
        <w:rPr>
          <w:rFonts w:hint="cs"/>
          <w:sz w:val="16"/>
          <w:szCs w:val="16"/>
          <w:rtl/>
        </w:rPr>
        <w:t>סק"א</w:t>
      </w:r>
      <w:proofErr w:type="spellEnd"/>
      <w:r w:rsidRPr="008A6C1B">
        <w:rPr>
          <w:rFonts w:hint="cs"/>
          <w:sz w:val="16"/>
          <w:szCs w:val="16"/>
          <w:rtl/>
        </w:rPr>
        <w:t xml:space="preserve"> </w:t>
      </w:r>
      <w:proofErr w:type="spellStart"/>
      <w:r w:rsidRPr="008A6C1B">
        <w:rPr>
          <w:rFonts w:hint="cs"/>
          <w:sz w:val="16"/>
          <w:szCs w:val="16"/>
          <w:rtl/>
        </w:rPr>
        <w:t>ופמ"ג</w:t>
      </w:r>
      <w:proofErr w:type="spellEnd"/>
      <w:r w:rsidRPr="008A6C1B">
        <w:rPr>
          <w:rFonts w:hint="cs"/>
          <w:sz w:val="16"/>
          <w:szCs w:val="16"/>
          <w:rtl/>
        </w:rPr>
        <w:t xml:space="preserve"> שם.</w:t>
      </w:r>
    </w:p>
  </w:footnote>
  <w:footnote w:id="24">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שם </w:t>
      </w:r>
      <w:proofErr w:type="spellStart"/>
      <w:r w:rsidRPr="008A6C1B">
        <w:rPr>
          <w:rFonts w:hint="cs"/>
          <w:sz w:val="16"/>
          <w:szCs w:val="16"/>
          <w:rtl/>
        </w:rPr>
        <w:t>בפמ"ג</w:t>
      </w:r>
      <w:proofErr w:type="spellEnd"/>
      <w:r w:rsidRPr="008A6C1B">
        <w:rPr>
          <w:rFonts w:hint="cs"/>
          <w:sz w:val="16"/>
          <w:szCs w:val="16"/>
          <w:rtl/>
        </w:rPr>
        <w:t>.</w:t>
      </w:r>
    </w:p>
  </w:footnote>
  <w:footnote w:id="25">
    <w:p w:rsidR="00A360DE" w:rsidRPr="00DA0984" w:rsidRDefault="00A360DE">
      <w:pPr>
        <w:pStyle w:val="a3"/>
        <w:rPr>
          <w:sz w:val="16"/>
          <w:szCs w:val="16"/>
          <w:rtl/>
        </w:rPr>
      </w:pPr>
      <w:r w:rsidRPr="00DA0984">
        <w:rPr>
          <w:rStyle w:val="a5"/>
          <w:sz w:val="16"/>
          <w:szCs w:val="16"/>
        </w:rPr>
        <w:footnoteRef/>
      </w:r>
      <w:r w:rsidRPr="00DA0984">
        <w:rPr>
          <w:sz w:val="16"/>
          <w:szCs w:val="16"/>
          <w:rtl/>
        </w:rPr>
        <w:t xml:space="preserve"> </w:t>
      </w:r>
      <w:r w:rsidRPr="00DA0984">
        <w:rPr>
          <w:rFonts w:hint="cs"/>
          <w:sz w:val="16"/>
          <w:szCs w:val="16"/>
          <w:rtl/>
        </w:rPr>
        <w:t xml:space="preserve">מ"ב סי' תס"א </w:t>
      </w:r>
      <w:proofErr w:type="spellStart"/>
      <w:r w:rsidRPr="00DA0984">
        <w:rPr>
          <w:rFonts w:hint="cs"/>
          <w:sz w:val="16"/>
          <w:szCs w:val="16"/>
          <w:rtl/>
        </w:rPr>
        <w:t>ס"ק</w:t>
      </w:r>
      <w:proofErr w:type="spellEnd"/>
      <w:r w:rsidRPr="00DA0984">
        <w:rPr>
          <w:rFonts w:hint="cs"/>
          <w:sz w:val="16"/>
          <w:szCs w:val="16"/>
          <w:rtl/>
        </w:rPr>
        <w:t xml:space="preserve"> כ"א.</w:t>
      </w:r>
    </w:p>
  </w:footnote>
  <w:footnote w:id="26">
    <w:p w:rsidR="00A360DE" w:rsidRPr="008A6C1B" w:rsidRDefault="00A360DE">
      <w:pPr>
        <w:pStyle w:val="a3"/>
        <w:rPr>
          <w:sz w:val="16"/>
          <w:szCs w:val="16"/>
        </w:rPr>
      </w:pPr>
      <w:r w:rsidRPr="008A6C1B">
        <w:rPr>
          <w:rStyle w:val="a5"/>
          <w:sz w:val="16"/>
          <w:szCs w:val="16"/>
        </w:rPr>
        <w:footnoteRef/>
      </w:r>
      <w:r w:rsidRPr="008A6C1B">
        <w:rPr>
          <w:sz w:val="16"/>
          <w:szCs w:val="16"/>
          <w:rtl/>
        </w:rPr>
        <w:t xml:space="preserve"> </w:t>
      </w:r>
      <w:r w:rsidRPr="008A6C1B">
        <w:rPr>
          <w:rFonts w:hint="cs"/>
          <w:sz w:val="16"/>
          <w:szCs w:val="16"/>
          <w:rtl/>
        </w:rPr>
        <w:t xml:space="preserve">כ"כ </w:t>
      </w:r>
      <w:proofErr w:type="spellStart"/>
      <w:r w:rsidRPr="008A6C1B">
        <w:rPr>
          <w:rFonts w:hint="cs"/>
          <w:sz w:val="16"/>
          <w:szCs w:val="16"/>
          <w:rtl/>
        </w:rPr>
        <w:t>מהרש"ל</w:t>
      </w:r>
      <w:proofErr w:type="spellEnd"/>
      <w:r w:rsidRPr="008A6C1B">
        <w:rPr>
          <w:rFonts w:hint="cs"/>
          <w:sz w:val="16"/>
          <w:szCs w:val="16"/>
          <w:rtl/>
        </w:rPr>
        <w:t>.</w:t>
      </w:r>
    </w:p>
  </w:footnote>
  <w:footnote w:id="27">
    <w:p w:rsidR="00A360DE" w:rsidRPr="008A6C1B" w:rsidRDefault="00A360DE">
      <w:pPr>
        <w:pStyle w:val="a3"/>
        <w:rPr>
          <w:sz w:val="16"/>
          <w:szCs w:val="16"/>
        </w:rPr>
      </w:pPr>
      <w:r w:rsidRPr="008A6C1B">
        <w:rPr>
          <w:rStyle w:val="a5"/>
          <w:sz w:val="16"/>
          <w:szCs w:val="16"/>
        </w:rPr>
        <w:footnoteRef/>
      </w:r>
      <w:r w:rsidRPr="008A6C1B">
        <w:rPr>
          <w:sz w:val="16"/>
          <w:szCs w:val="16"/>
          <w:rtl/>
        </w:rPr>
        <w:t xml:space="preserve"> </w:t>
      </w:r>
      <w:r w:rsidRPr="008A6C1B">
        <w:rPr>
          <w:rFonts w:hint="cs"/>
          <w:sz w:val="16"/>
          <w:szCs w:val="16"/>
          <w:rtl/>
        </w:rPr>
        <w:t xml:space="preserve">כ"כ </w:t>
      </w:r>
      <w:proofErr w:type="spellStart"/>
      <w:r w:rsidRPr="008A6C1B">
        <w:rPr>
          <w:rFonts w:hint="cs"/>
          <w:sz w:val="16"/>
          <w:szCs w:val="16"/>
          <w:rtl/>
        </w:rPr>
        <w:t>הב"ח</w:t>
      </w:r>
      <w:proofErr w:type="spellEnd"/>
      <w:r w:rsidRPr="008A6C1B">
        <w:rPr>
          <w:rFonts w:hint="cs"/>
          <w:sz w:val="16"/>
          <w:szCs w:val="16"/>
          <w:rtl/>
        </w:rPr>
        <w:t xml:space="preserve">, והובאו בט"ז </w:t>
      </w:r>
      <w:proofErr w:type="spellStart"/>
      <w:r w:rsidRPr="008A6C1B">
        <w:rPr>
          <w:rFonts w:hint="cs"/>
          <w:sz w:val="16"/>
          <w:szCs w:val="16"/>
          <w:rtl/>
        </w:rPr>
        <w:t>סק"א</w:t>
      </w:r>
      <w:proofErr w:type="spellEnd"/>
      <w:r w:rsidRPr="008A6C1B">
        <w:rPr>
          <w:rFonts w:hint="cs"/>
          <w:sz w:val="16"/>
          <w:szCs w:val="16"/>
          <w:rtl/>
        </w:rPr>
        <w:t>.</w:t>
      </w:r>
    </w:p>
  </w:footnote>
  <w:footnote w:id="28">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ועי' בקושיית </w:t>
      </w:r>
      <w:proofErr w:type="spellStart"/>
      <w:r w:rsidRPr="008A6C1B">
        <w:rPr>
          <w:rFonts w:hint="cs"/>
          <w:sz w:val="16"/>
          <w:szCs w:val="16"/>
          <w:rtl/>
        </w:rPr>
        <w:t>רעק"א</w:t>
      </w:r>
      <w:proofErr w:type="spellEnd"/>
      <w:r w:rsidRPr="008A6C1B">
        <w:rPr>
          <w:rFonts w:hint="cs"/>
          <w:sz w:val="16"/>
          <w:szCs w:val="16"/>
          <w:rtl/>
        </w:rPr>
        <w:t xml:space="preserve"> מה מועיל שההיתר מכוסה בבצק.</w:t>
      </w:r>
    </w:p>
  </w:footnote>
  <w:footnote w:id="29">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ס"ב, ועי' </w:t>
      </w:r>
      <w:proofErr w:type="spellStart"/>
      <w:r w:rsidRPr="008A6C1B">
        <w:rPr>
          <w:rFonts w:hint="cs"/>
          <w:sz w:val="16"/>
          <w:szCs w:val="16"/>
          <w:rtl/>
        </w:rPr>
        <w:t>בש"ך</w:t>
      </w:r>
      <w:proofErr w:type="spellEnd"/>
      <w:r w:rsidRPr="008A6C1B">
        <w:rPr>
          <w:rFonts w:hint="cs"/>
          <w:sz w:val="16"/>
          <w:szCs w:val="16"/>
          <w:rtl/>
        </w:rPr>
        <w:t xml:space="preserve"> שם אם הוא משום דהוי תבשיל או משום הפסק הקדירה.</w:t>
      </w:r>
      <w:r>
        <w:rPr>
          <w:rFonts w:hint="cs"/>
          <w:sz w:val="16"/>
          <w:szCs w:val="16"/>
          <w:rtl/>
        </w:rPr>
        <w:t xml:space="preserve"> ועי' מ"א תמ"ז </w:t>
      </w:r>
      <w:proofErr w:type="spellStart"/>
      <w:r>
        <w:rPr>
          <w:rFonts w:hint="cs"/>
          <w:sz w:val="16"/>
          <w:szCs w:val="16"/>
          <w:rtl/>
        </w:rPr>
        <w:t>סק"ד</w:t>
      </w:r>
      <w:proofErr w:type="spellEnd"/>
      <w:r>
        <w:rPr>
          <w:rFonts w:hint="cs"/>
          <w:sz w:val="16"/>
          <w:szCs w:val="16"/>
          <w:rtl/>
        </w:rPr>
        <w:t xml:space="preserve"> שהכריע שהוא משום הא שתבשיל אינו נותן ריח.</w:t>
      </w:r>
    </w:p>
  </w:footnote>
  <w:footnote w:id="30">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והטעם להחמיר לכאורה הוא משום שאף אם </w:t>
      </w:r>
      <w:proofErr w:type="spellStart"/>
      <w:r w:rsidRPr="008A6C1B">
        <w:rPr>
          <w:rFonts w:hint="cs"/>
          <w:sz w:val="16"/>
          <w:szCs w:val="16"/>
          <w:rtl/>
        </w:rPr>
        <w:t>ריחא</w:t>
      </w:r>
      <w:proofErr w:type="spellEnd"/>
      <w:r w:rsidRPr="008A6C1B">
        <w:rPr>
          <w:rFonts w:hint="cs"/>
          <w:sz w:val="16"/>
          <w:szCs w:val="16"/>
          <w:rtl/>
        </w:rPr>
        <w:t xml:space="preserve"> לאו מילתא, סו"ס יש כאן חלקיקי האיסור, ואינם בטלים. [ועי' </w:t>
      </w:r>
      <w:proofErr w:type="spellStart"/>
      <w:r w:rsidRPr="008A6C1B">
        <w:rPr>
          <w:rFonts w:hint="cs"/>
          <w:sz w:val="16"/>
          <w:szCs w:val="16"/>
          <w:rtl/>
        </w:rPr>
        <w:t>ביאוה"ל</w:t>
      </w:r>
      <w:proofErr w:type="spellEnd"/>
      <w:r w:rsidRPr="008A6C1B">
        <w:rPr>
          <w:rFonts w:hint="cs"/>
          <w:sz w:val="16"/>
          <w:szCs w:val="16"/>
          <w:rtl/>
        </w:rPr>
        <w:t xml:space="preserve"> סי' תמ"ג שאסר משום </w:t>
      </w:r>
      <w:proofErr w:type="spellStart"/>
      <w:r w:rsidRPr="008A6C1B">
        <w:rPr>
          <w:rFonts w:hint="cs"/>
          <w:sz w:val="16"/>
          <w:szCs w:val="16"/>
          <w:rtl/>
        </w:rPr>
        <w:t>חומרא</w:t>
      </w:r>
      <w:proofErr w:type="spellEnd"/>
      <w:r w:rsidRPr="008A6C1B">
        <w:rPr>
          <w:rFonts w:hint="cs"/>
          <w:sz w:val="16"/>
          <w:szCs w:val="16"/>
          <w:rtl/>
        </w:rPr>
        <w:t xml:space="preserve"> זו להריח פת חמץ בפסח, </w:t>
      </w:r>
      <w:r w:rsidRPr="008A6C1B">
        <w:rPr>
          <w:rFonts w:hint="cs"/>
          <w:b/>
          <w:bCs/>
          <w:sz w:val="16"/>
          <w:szCs w:val="16"/>
          <w:rtl/>
        </w:rPr>
        <w:t>וצ"ע.</w:t>
      </w:r>
      <w:r w:rsidRPr="008A6C1B">
        <w:rPr>
          <w:rFonts w:hint="cs"/>
          <w:sz w:val="16"/>
          <w:szCs w:val="16"/>
          <w:rtl/>
        </w:rPr>
        <w:t>]</w:t>
      </w:r>
    </w:p>
  </w:footnote>
  <w:footnote w:id="31">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וראה </w:t>
      </w:r>
      <w:proofErr w:type="spellStart"/>
      <w:r w:rsidRPr="008A6C1B">
        <w:rPr>
          <w:rFonts w:hint="cs"/>
          <w:sz w:val="16"/>
          <w:szCs w:val="16"/>
          <w:rtl/>
        </w:rPr>
        <w:t>פמ"ג</w:t>
      </w:r>
      <w:proofErr w:type="spellEnd"/>
      <w:r w:rsidRPr="008A6C1B">
        <w:rPr>
          <w:rFonts w:hint="cs"/>
          <w:sz w:val="16"/>
          <w:szCs w:val="16"/>
          <w:rtl/>
        </w:rPr>
        <w:t xml:space="preserve"> ש"ד </w:t>
      </w:r>
      <w:proofErr w:type="spellStart"/>
      <w:r w:rsidRPr="008A6C1B">
        <w:rPr>
          <w:rFonts w:hint="cs"/>
          <w:sz w:val="16"/>
          <w:szCs w:val="16"/>
          <w:rtl/>
        </w:rPr>
        <w:t>סקי"ד</w:t>
      </w:r>
      <w:proofErr w:type="spellEnd"/>
      <w:r w:rsidRPr="008A6C1B">
        <w:rPr>
          <w:rFonts w:hint="cs"/>
          <w:sz w:val="16"/>
          <w:szCs w:val="16"/>
          <w:rtl/>
        </w:rPr>
        <w:t xml:space="preserve"> כל פרטי הדינים.</w:t>
      </w:r>
    </w:p>
  </w:footnote>
  <w:footnote w:id="32">
    <w:p w:rsidR="00A360DE" w:rsidRPr="00AA18B4"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ועי' </w:t>
      </w:r>
      <w:proofErr w:type="spellStart"/>
      <w:r w:rsidRPr="008A6C1B">
        <w:rPr>
          <w:rFonts w:hint="cs"/>
          <w:sz w:val="16"/>
          <w:szCs w:val="16"/>
          <w:rtl/>
        </w:rPr>
        <w:t>פמ"ג</w:t>
      </w:r>
      <w:proofErr w:type="spellEnd"/>
      <w:r w:rsidRPr="008A6C1B">
        <w:rPr>
          <w:rFonts w:hint="cs"/>
          <w:sz w:val="16"/>
          <w:szCs w:val="16"/>
          <w:rtl/>
        </w:rPr>
        <w:t xml:space="preserve"> ש"ד </w:t>
      </w:r>
      <w:proofErr w:type="spellStart"/>
      <w:r w:rsidRPr="008A6C1B">
        <w:rPr>
          <w:rFonts w:hint="cs"/>
          <w:sz w:val="16"/>
          <w:szCs w:val="16"/>
          <w:rtl/>
        </w:rPr>
        <w:t>סקי"ג</w:t>
      </w:r>
      <w:proofErr w:type="spellEnd"/>
      <w:r w:rsidRPr="008A6C1B">
        <w:rPr>
          <w:rFonts w:hint="cs"/>
          <w:sz w:val="16"/>
          <w:szCs w:val="16"/>
          <w:rtl/>
        </w:rPr>
        <w:t xml:space="preserve"> </w:t>
      </w:r>
      <w:proofErr w:type="spellStart"/>
      <w:r w:rsidRPr="008A6C1B">
        <w:rPr>
          <w:rFonts w:hint="cs"/>
          <w:sz w:val="16"/>
          <w:szCs w:val="16"/>
          <w:rtl/>
        </w:rPr>
        <w:t>דבכה"ג</w:t>
      </w:r>
      <w:proofErr w:type="spellEnd"/>
      <w:r w:rsidRPr="008A6C1B">
        <w:rPr>
          <w:rFonts w:hint="cs"/>
          <w:sz w:val="16"/>
          <w:szCs w:val="16"/>
          <w:rtl/>
        </w:rPr>
        <w:t xml:space="preserve"> הוי דאורייתא.</w:t>
      </w:r>
      <w:r>
        <w:rPr>
          <w:rFonts w:hint="cs"/>
          <w:sz w:val="16"/>
          <w:szCs w:val="16"/>
          <w:rtl/>
        </w:rPr>
        <w:t xml:space="preserve"> (אמנם עיי"ש שייתכן שכשה</w:t>
      </w:r>
      <w:r>
        <w:rPr>
          <w:rFonts w:hint="cs"/>
          <w:b/>
          <w:bCs/>
          <w:sz w:val="16"/>
          <w:szCs w:val="16"/>
          <w:rtl/>
        </w:rPr>
        <w:t xml:space="preserve">איסור </w:t>
      </w:r>
      <w:r>
        <w:rPr>
          <w:rFonts w:hint="cs"/>
          <w:sz w:val="16"/>
          <w:szCs w:val="16"/>
          <w:rtl/>
        </w:rPr>
        <w:t>חריף יש להקל במקום הפסד מרובה.)</w:t>
      </w:r>
    </w:p>
  </w:footnote>
  <w:footnote w:id="33">
    <w:p w:rsidR="00A360DE" w:rsidRPr="008A6C1B" w:rsidRDefault="00A360DE">
      <w:pPr>
        <w:pStyle w:val="a3"/>
        <w:rPr>
          <w:sz w:val="16"/>
          <w:szCs w:val="16"/>
          <w:rtl/>
        </w:rPr>
      </w:pPr>
      <w:r w:rsidRPr="008A6C1B">
        <w:rPr>
          <w:rStyle w:val="a5"/>
          <w:sz w:val="16"/>
          <w:szCs w:val="16"/>
        </w:rPr>
        <w:footnoteRef/>
      </w:r>
      <w:r w:rsidRPr="008A6C1B">
        <w:rPr>
          <w:sz w:val="16"/>
          <w:szCs w:val="16"/>
          <w:rtl/>
        </w:rPr>
        <w:t xml:space="preserve"> </w:t>
      </w:r>
      <w:r w:rsidRPr="008A6C1B">
        <w:rPr>
          <w:rFonts w:hint="cs"/>
          <w:sz w:val="16"/>
          <w:szCs w:val="16"/>
          <w:rtl/>
        </w:rPr>
        <w:t xml:space="preserve">ועי' </w:t>
      </w:r>
      <w:proofErr w:type="spellStart"/>
      <w:r w:rsidRPr="008A6C1B">
        <w:rPr>
          <w:rFonts w:hint="cs"/>
          <w:sz w:val="16"/>
          <w:szCs w:val="16"/>
          <w:rtl/>
        </w:rPr>
        <w:t>פמ"ג</w:t>
      </w:r>
      <w:proofErr w:type="spellEnd"/>
      <w:r w:rsidRPr="008A6C1B">
        <w:rPr>
          <w:rFonts w:hint="cs"/>
          <w:sz w:val="16"/>
          <w:szCs w:val="16"/>
          <w:rtl/>
        </w:rPr>
        <w:t xml:space="preserve"> סי' צ"ז ש"ד </w:t>
      </w:r>
      <w:proofErr w:type="spellStart"/>
      <w:r w:rsidRPr="008A6C1B">
        <w:rPr>
          <w:rFonts w:hint="cs"/>
          <w:sz w:val="16"/>
          <w:szCs w:val="16"/>
          <w:rtl/>
        </w:rPr>
        <w:t>סק"ה</w:t>
      </w:r>
      <w:proofErr w:type="spellEnd"/>
      <w:r w:rsidRPr="008A6C1B">
        <w:rPr>
          <w:rFonts w:hint="cs"/>
          <w:sz w:val="16"/>
          <w:szCs w:val="16"/>
          <w:rtl/>
        </w:rPr>
        <w:t xml:space="preserve"> ג' דעות מהו השיעור. (ועי' בספר הלכות בשר בחלב שסיווג את התנורים המצויים בזמננו לפי ג' הדעות.)</w:t>
      </w:r>
    </w:p>
  </w:footnote>
  <w:footnote w:id="34">
    <w:p w:rsidR="00A360DE" w:rsidRPr="00DA0984" w:rsidRDefault="00A360DE">
      <w:pPr>
        <w:pStyle w:val="a3"/>
        <w:rPr>
          <w:sz w:val="16"/>
          <w:szCs w:val="16"/>
          <w:rtl/>
        </w:rPr>
      </w:pPr>
      <w:r w:rsidRPr="00DA0984">
        <w:rPr>
          <w:rStyle w:val="a5"/>
          <w:sz w:val="18"/>
          <w:szCs w:val="18"/>
        </w:rPr>
        <w:footnoteRef/>
      </w:r>
      <w:r w:rsidRPr="00DA0984">
        <w:rPr>
          <w:sz w:val="18"/>
          <w:szCs w:val="18"/>
          <w:rtl/>
        </w:rPr>
        <w:t xml:space="preserve"> </w:t>
      </w:r>
      <w:r w:rsidRPr="00DA0984">
        <w:rPr>
          <w:rFonts w:hint="cs"/>
          <w:sz w:val="16"/>
          <w:szCs w:val="16"/>
          <w:rtl/>
        </w:rPr>
        <w:t xml:space="preserve">כך נקט </w:t>
      </w:r>
      <w:proofErr w:type="spellStart"/>
      <w:r w:rsidRPr="00DA0984">
        <w:rPr>
          <w:rFonts w:hint="cs"/>
          <w:sz w:val="16"/>
          <w:szCs w:val="16"/>
          <w:rtl/>
        </w:rPr>
        <w:t>הש"ך</w:t>
      </w:r>
      <w:proofErr w:type="spellEnd"/>
      <w:r w:rsidRPr="00DA0984">
        <w:rPr>
          <w:rFonts w:hint="cs"/>
          <w:sz w:val="16"/>
          <w:szCs w:val="16"/>
          <w:rtl/>
        </w:rPr>
        <w:t xml:space="preserve"> בדעת </w:t>
      </w:r>
      <w:proofErr w:type="spellStart"/>
      <w:r w:rsidRPr="00DA0984">
        <w:rPr>
          <w:rFonts w:hint="cs"/>
          <w:sz w:val="16"/>
          <w:szCs w:val="16"/>
          <w:rtl/>
        </w:rPr>
        <w:t>הרמ"א</w:t>
      </w:r>
      <w:proofErr w:type="spellEnd"/>
      <w:r w:rsidRPr="00DA0984">
        <w:rPr>
          <w:rFonts w:hint="cs"/>
          <w:sz w:val="16"/>
          <w:szCs w:val="16"/>
          <w:rtl/>
        </w:rPr>
        <w:t xml:space="preserve">, ואמנם אין זה מוסכם, </w:t>
      </w:r>
      <w:proofErr w:type="spellStart"/>
      <w:r w:rsidRPr="00DA0984">
        <w:rPr>
          <w:rFonts w:hint="cs"/>
          <w:sz w:val="16"/>
          <w:szCs w:val="16"/>
          <w:rtl/>
        </w:rPr>
        <w:t>והחכמ"א</w:t>
      </w:r>
      <w:proofErr w:type="spellEnd"/>
      <w:r w:rsidRPr="00DA0984">
        <w:rPr>
          <w:rFonts w:hint="cs"/>
          <w:sz w:val="16"/>
          <w:szCs w:val="16"/>
          <w:rtl/>
        </w:rPr>
        <w:t xml:space="preserve"> והיד יהודה מחמירים בזה, אך </w:t>
      </w:r>
      <w:proofErr w:type="spellStart"/>
      <w:r w:rsidRPr="00DA0984">
        <w:rPr>
          <w:rFonts w:hint="cs"/>
          <w:sz w:val="16"/>
          <w:szCs w:val="16"/>
          <w:rtl/>
        </w:rPr>
        <w:t>המ"ב</w:t>
      </w:r>
      <w:proofErr w:type="spellEnd"/>
      <w:r w:rsidRPr="00DA0984">
        <w:rPr>
          <w:rFonts w:hint="cs"/>
          <w:sz w:val="16"/>
          <w:szCs w:val="16"/>
          <w:rtl/>
        </w:rPr>
        <w:t xml:space="preserve"> סי' תמ"ז </w:t>
      </w:r>
      <w:proofErr w:type="spellStart"/>
      <w:r w:rsidRPr="00DA0984">
        <w:rPr>
          <w:rFonts w:hint="cs"/>
          <w:sz w:val="16"/>
          <w:szCs w:val="16"/>
          <w:rtl/>
        </w:rPr>
        <w:t>סקי"ג</w:t>
      </w:r>
      <w:proofErr w:type="spellEnd"/>
      <w:r w:rsidRPr="00DA0984">
        <w:rPr>
          <w:rFonts w:hint="cs"/>
          <w:sz w:val="16"/>
          <w:szCs w:val="16"/>
          <w:rtl/>
        </w:rPr>
        <w:t xml:space="preserve"> הכריע להתיר.</w:t>
      </w:r>
    </w:p>
  </w:footnote>
  <w:footnote w:id="35">
    <w:p w:rsidR="00A360DE" w:rsidRPr="00DA0984" w:rsidRDefault="00A360DE">
      <w:pPr>
        <w:pStyle w:val="a3"/>
        <w:rPr>
          <w:sz w:val="16"/>
          <w:szCs w:val="16"/>
        </w:rPr>
      </w:pPr>
      <w:r w:rsidRPr="00DA0984">
        <w:rPr>
          <w:rStyle w:val="a5"/>
          <w:sz w:val="16"/>
          <w:szCs w:val="16"/>
        </w:rPr>
        <w:footnoteRef/>
      </w:r>
      <w:r w:rsidRPr="00DA0984">
        <w:rPr>
          <w:sz w:val="16"/>
          <w:szCs w:val="16"/>
          <w:rtl/>
        </w:rPr>
        <w:t xml:space="preserve"> </w:t>
      </w:r>
      <w:r w:rsidRPr="00DA0984">
        <w:rPr>
          <w:rFonts w:hint="cs"/>
          <w:sz w:val="16"/>
          <w:szCs w:val="16"/>
          <w:rtl/>
        </w:rPr>
        <w:t xml:space="preserve">וביאר </w:t>
      </w:r>
      <w:proofErr w:type="spellStart"/>
      <w:r w:rsidRPr="00DA0984">
        <w:rPr>
          <w:rFonts w:hint="cs"/>
          <w:sz w:val="16"/>
          <w:szCs w:val="16"/>
          <w:rtl/>
        </w:rPr>
        <w:t>הגר"א</w:t>
      </w:r>
      <w:proofErr w:type="spellEnd"/>
      <w:r w:rsidRPr="00DA0984">
        <w:rPr>
          <w:rFonts w:hint="cs"/>
          <w:sz w:val="16"/>
          <w:szCs w:val="16"/>
          <w:rtl/>
        </w:rPr>
        <w:t xml:space="preserve"> שהוא מדין תנור סתום. ומה שלא התיר כאן </w:t>
      </w:r>
      <w:proofErr w:type="spellStart"/>
      <w:r w:rsidRPr="00DA0984">
        <w:rPr>
          <w:rFonts w:hint="cs"/>
          <w:sz w:val="16"/>
          <w:szCs w:val="16"/>
          <w:rtl/>
        </w:rPr>
        <w:t>הרמ"א</w:t>
      </w:r>
      <w:proofErr w:type="spellEnd"/>
      <w:r w:rsidRPr="00DA0984">
        <w:rPr>
          <w:rFonts w:hint="cs"/>
          <w:sz w:val="16"/>
          <w:szCs w:val="16"/>
          <w:rtl/>
        </w:rPr>
        <w:t xml:space="preserve"> במקום הפסד מרובה, ביאר </w:t>
      </w:r>
      <w:proofErr w:type="spellStart"/>
      <w:r w:rsidRPr="00DA0984">
        <w:rPr>
          <w:rFonts w:hint="cs"/>
          <w:sz w:val="16"/>
          <w:szCs w:val="16"/>
          <w:rtl/>
        </w:rPr>
        <w:t>החזו"א</w:t>
      </w:r>
      <w:proofErr w:type="spellEnd"/>
      <w:r w:rsidRPr="00DA0984">
        <w:rPr>
          <w:rFonts w:hint="cs"/>
          <w:sz w:val="16"/>
          <w:szCs w:val="16"/>
          <w:rtl/>
        </w:rPr>
        <w:t xml:space="preserve"> שהוא משום מגדר מילתא.</w:t>
      </w:r>
    </w:p>
  </w:footnote>
  <w:footnote w:id="36">
    <w:p w:rsidR="00A360DE" w:rsidRDefault="00A360DE">
      <w:pPr>
        <w:pStyle w:val="a3"/>
        <w:rPr>
          <w:rtl/>
        </w:rPr>
      </w:pPr>
      <w:r>
        <w:rPr>
          <w:rStyle w:val="a5"/>
        </w:rPr>
        <w:footnoteRef/>
      </w:r>
      <w:r>
        <w:rPr>
          <w:rtl/>
        </w:rPr>
        <w:t xml:space="preserve"> </w:t>
      </w:r>
      <w:proofErr w:type="spellStart"/>
      <w:r>
        <w:rPr>
          <w:rFonts w:hint="cs"/>
          <w:rtl/>
        </w:rPr>
        <w:t>תוס</w:t>
      </w:r>
      <w:proofErr w:type="spellEnd"/>
      <w:r>
        <w:rPr>
          <w:rFonts w:hint="cs"/>
          <w:rtl/>
        </w:rPr>
        <w:t xml:space="preserve">' ע"ז ט"ו, מרדכי, </w:t>
      </w:r>
      <w:proofErr w:type="spellStart"/>
      <w:r>
        <w:rPr>
          <w:rFonts w:hint="cs"/>
          <w:rtl/>
        </w:rPr>
        <w:t>ארחות</w:t>
      </w:r>
      <w:proofErr w:type="spellEnd"/>
      <w:r>
        <w:rPr>
          <w:rFonts w:hint="cs"/>
          <w:rtl/>
        </w:rPr>
        <w:t xml:space="preserve"> חיים.</w:t>
      </w:r>
    </w:p>
  </w:footnote>
  <w:footnote w:id="37">
    <w:p w:rsidR="00A360DE" w:rsidRDefault="00A360DE">
      <w:pPr>
        <w:pStyle w:val="a3"/>
      </w:pPr>
      <w:r>
        <w:rPr>
          <w:rStyle w:val="a5"/>
        </w:rPr>
        <w:footnoteRef/>
      </w:r>
      <w:r>
        <w:rPr>
          <w:rtl/>
        </w:rPr>
        <w:t xml:space="preserve"> </w:t>
      </w:r>
      <w:proofErr w:type="spellStart"/>
      <w:r>
        <w:rPr>
          <w:rFonts w:hint="cs"/>
          <w:rtl/>
        </w:rPr>
        <w:t>תוס</w:t>
      </w:r>
      <w:proofErr w:type="spellEnd"/>
      <w:r>
        <w:rPr>
          <w:rFonts w:hint="cs"/>
          <w:rtl/>
        </w:rPr>
        <w:t>' ע"ז ס"ו.</w:t>
      </w:r>
    </w:p>
  </w:footnote>
  <w:footnote w:id="38">
    <w:p w:rsidR="00A360DE" w:rsidRDefault="00A360DE">
      <w:pPr>
        <w:pStyle w:val="a3"/>
      </w:pPr>
      <w:r>
        <w:rPr>
          <w:rStyle w:val="a5"/>
        </w:rPr>
        <w:footnoteRef/>
      </w:r>
      <w:r>
        <w:rPr>
          <w:rtl/>
        </w:rPr>
        <w:t xml:space="preserve"> </w:t>
      </w:r>
      <w:r>
        <w:rPr>
          <w:rFonts w:hint="cs"/>
          <w:rtl/>
        </w:rPr>
        <w:t xml:space="preserve">ושייכו </w:t>
      </w:r>
      <w:proofErr w:type="spellStart"/>
      <w:r>
        <w:rPr>
          <w:rFonts w:hint="cs"/>
          <w:rtl/>
        </w:rPr>
        <w:t>התוס</w:t>
      </w:r>
      <w:proofErr w:type="spellEnd"/>
      <w:r>
        <w:rPr>
          <w:rFonts w:hint="cs"/>
          <w:rtl/>
        </w:rPr>
        <w:t xml:space="preserve">' עניין זה למבואר בחולין -   - שמותר לשחוט בסכין של ע"ז </w:t>
      </w:r>
      <w:proofErr w:type="spellStart"/>
      <w:r>
        <w:rPr>
          <w:rFonts w:hint="cs"/>
          <w:rtl/>
        </w:rPr>
        <w:t>דאין</w:t>
      </w:r>
      <w:proofErr w:type="spellEnd"/>
      <w:r>
        <w:rPr>
          <w:rFonts w:hint="cs"/>
          <w:rtl/>
        </w:rPr>
        <w:t xml:space="preserve"> זה מוגדר הנאה כיון שמפסיד את חיי הבהמה. ומינה שכל שיש היזק מצד ההנאה, אין זה אסור בהנאה. [והיה מקום לחלק אולי </w:t>
      </w:r>
      <w:proofErr w:type="spellStart"/>
      <w:r>
        <w:rPr>
          <w:rFonts w:hint="cs"/>
          <w:rtl/>
        </w:rPr>
        <w:t>דדווקא</w:t>
      </w:r>
      <w:proofErr w:type="spellEnd"/>
      <w:r>
        <w:rPr>
          <w:rFonts w:hint="cs"/>
          <w:rtl/>
        </w:rPr>
        <w:t xml:space="preserve"> בהנאה של שימוש </w:t>
      </w:r>
      <w:r>
        <w:rPr>
          <w:rtl/>
        </w:rPr>
        <w:t>–</w:t>
      </w:r>
      <w:r>
        <w:rPr>
          <w:rFonts w:hint="cs"/>
          <w:rtl/>
        </w:rPr>
        <w:t xml:space="preserve"> </w:t>
      </w:r>
      <w:proofErr w:type="spellStart"/>
      <w:r>
        <w:rPr>
          <w:rFonts w:hint="cs"/>
          <w:rtl/>
        </w:rPr>
        <w:t>כהשחיטה</w:t>
      </w:r>
      <w:proofErr w:type="spellEnd"/>
      <w:r>
        <w:rPr>
          <w:rFonts w:hint="cs"/>
          <w:rtl/>
        </w:rPr>
        <w:t xml:space="preserve"> בסכין, </w:t>
      </w:r>
      <w:proofErr w:type="spellStart"/>
      <w:r>
        <w:rPr>
          <w:rFonts w:hint="cs"/>
          <w:rtl/>
        </w:rPr>
        <w:t>אמרינן</w:t>
      </w:r>
      <w:proofErr w:type="spellEnd"/>
      <w:r>
        <w:rPr>
          <w:rFonts w:hint="cs"/>
          <w:rtl/>
        </w:rPr>
        <w:t xml:space="preserve"> שאין כאן שימוש מושלם כיון שלא רק מועיל אלא גם מזיק. אמנם לגבי הנאה בעצם, כריח טוב, לא מועיל מה שנגרם נזק מצד אחר.]</w:t>
      </w:r>
    </w:p>
  </w:footnote>
  <w:footnote w:id="39">
    <w:p w:rsidR="00A360DE" w:rsidRDefault="00A360DE">
      <w:pPr>
        <w:pStyle w:val="a3"/>
        <w:rPr>
          <w:rtl/>
        </w:rPr>
      </w:pPr>
      <w:r>
        <w:rPr>
          <w:rStyle w:val="a5"/>
        </w:rPr>
        <w:footnoteRef/>
      </w:r>
      <w:r>
        <w:rPr>
          <w:rtl/>
        </w:rPr>
        <w:t xml:space="preserve"> </w:t>
      </w:r>
      <w:r>
        <w:rPr>
          <w:rFonts w:hint="cs"/>
          <w:rtl/>
        </w:rPr>
        <w:t xml:space="preserve">וכמו"כ יש מקום לדון שהיתר שחיטה בסכין של </w:t>
      </w:r>
      <w:proofErr w:type="spellStart"/>
      <w:r>
        <w:rPr>
          <w:rFonts w:hint="cs"/>
          <w:rtl/>
        </w:rPr>
        <w:t>איסוה"נ</w:t>
      </w:r>
      <w:proofErr w:type="spellEnd"/>
      <w:r>
        <w:rPr>
          <w:rFonts w:hint="cs"/>
          <w:rtl/>
        </w:rPr>
        <w:t xml:space="preserve">,  נאמר דווקא בע"ז וכדו', אבל בסכין של הקדש, או קונם, לא יהיה להיתר זה, </w:t>
      </w:r>
      <w:proofErr w:type="spellStart"/>
      <w:r>
        <w:rPr>
          <w:rFonts w:hint="cs"/>
          <w:rtl/>
        </w:rPr>
        <w:t>דסו"ס</w:t>
      </w:r>
      <w:proofErr w:type="spellEnd"/>
      <w:r>
        <w:rPr>
          <w:rFonts w:hint="cs"/>
          <w:rtl/>
        </w:rPr>
        <w:t xml:space="preserve"> השתמש בו.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37232"/>
    <w:multiLevelType w:val="hybridMultilevel"/>
    <w:tmpl w:val="13D2CF4E"/>
    <w:lvl w:ilvl="0" w:tplc="FFB213C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D329D9"/>
    <w:multiLevelType w:val="hybridMultilevel"/>
    <w:tmpl w:val="49BE5754"/>
    <w:lvl w:ilvl="0" w:tplc="5C72F5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766"/>
    <w:rsid w:val="000043AF"/>
    <w:rsid w:val="00051925"/>
    <w:rsid w:val="000D3E52"/>
    <w:rsid w:val="000F7308"/>
    <w:rsid w:val="00100F67"/>
    <w:rsid w:val="0010380B"/>
    <w:rsid w:val="00106768"/>
    <w:rsid w:val="00165397"/>
    <w:rsid w:val="00172AA7"/>
    <w:rsid w:val="0023608B"/>
    <w:rsid w:val="0026315F"/>
    <w:rsid w:val="0026673A"/>
    <w:rsid w:val="002B04C9"/>
    <w:rsid w:val="002C0862"/>
    <w:rsid w:val="002C5DE1"/>
    <w:rsid w:val="002D757A"/>
    <w:rsid w:val="002E36B5"/>
    <w:rsid w:val="002F6630"/>
    <w:rsid w:val="003432D0"/>
    <w:rsid w:val="00365BE6"/>
    <w:rsid w:val="003D0FF0"/>
    <w:rsid w:val="00466375"/>
    <w:rsid w:val="004D05E6"/>
    <w:rsid w:val="004F342A"/>
    <w:rsid w:val="00514897"/>
    <w:rsid w:val="00535372"/>
    <w:rsid w:val="00536A6E"/>
    <w:rsid w:val="00572E3E"/>
    <w:rsid w:val="005C04CE"/>
    <w:rsid w:val="005C304A"/>
    <w:rsid w:val="005D182F"/>
    <w:rsid w:val="005D5C0F"/>
    <w:rsid w:val="005E2528"/>
    <w:rsid w:val="006009A0"/>
    <w:rsid w:val="00686E99"/>
    <w:rsid w:val="006C16DC"/>
    <w:rsid w:val="006D2253"/>
    <w:rsid w:val="007051A7"/>
    <w:rsid w:val="00740DAA"/>
    <w:rsid w:val="00744DF0"/>
    <w:rsid w:val="00791305"/>
    <w:rsid w:val="00825C2C"/>
    <w:rsid w:val="008A6C1B"/>
    <w:rsid w:val="008C6877"/>
    <w:rsid w:val="008D39E8"/>
    <w:rsid w:val="00943CDC"/>
    <w:rsid w:val="009547F0"/>
    <w:rsid w:val="00976BE3"/>
    <w:rsid w:val="00983499"/>
    <w:rsid w:val="00991FFD"/>
    <w:rsid w:val="009A4957"/>
    <w:rsid w:val="009A5A6E"/>
    <w:rsid w:val="009C574B"/>
    <w:rsid w:val="009F701D"/>
    <w:rsid w:val="00A360DE"/>
    <w:rsid w:val="00AA18B4"/>
    <w:rsid w:val="00B17D35"/>
    <w:rsid w:val="00B230DE"/>
    <w:rsid w:val="00B63077"/>
    <w:rsid w:val="00BB7C34"/>
    <w:rsid w:val="00BD2DA6"/>
    <w:rsid w:val="00C30D97"/>
    <w:rsid w:val="00C7716B"/>
    <w:rsid w:val="00C956DD"/>
    <w:rsid w:val="00CA45BA"/>
    <w:rsid w:val="00D04E2C"/>
    <w:rsid w:val="00D061CF"/>
    <w:rsid w:val="00D2247D"/>
    <w:rsid w:val="00D24B82"/>
    <w:rsid w:val="00D854B6"/>
    <w:rsid w:val="00D92766"/>
    <w:rsid w:val="00DA0984"/>
    <w:rsid w:val="00DA7E4B"/>
    <w:rsid w:val="00E02024"/>
    <w:rsid w:val="00E36567"/>
    <w:rsid w:val="00E61D98"/>
    <w:rsid w:val="00E67DA9"/>
    <w:rsid w:val="00EC03D4"/>
    <w:rsid w:val="00EC4731"/>
    <w:rsid w:val="00EE074C"/>
    <w:rsid w:val="00F15C12"/>
    <w:rsid w:val="00F177B5"/>
    <w:rsid w:val="00FB2CA4"/>
    <w:rsid w:val="00FE4A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0ED2"/>
  <w15:chartTrackingRefBased/>
  <w15:docId w15:val="{1A1C62D0-AA3C-4B7F-B549-F6A95A00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92766"/>
    <w:pPr>
      <w:spacing w:after="0" w:line="240" w:lineRule="auto"/>
    </w:pPr>
    <w:rPr>
      <w:sz w:val="20"/>
      <w:szCs w:val="20"/>
    </w:rPr>
  </w:style>
  <w:style w:type="character" w:customStyle="1" w:styleId="a4">
    <w:name w:val="טקסט הערת שוליים תו"/>
    <w:basedOn w:val="a0"/>
    <w:link w:val="a3"/>
    <w:uiPriority w:val="99"/>
    <w:semiHidden/>
    <w:rsid w:val="00D92766"/>
    <w:rPr>
      <w:sz w:val="20"/>
      <w:szCs w:val="20"/>
    </w:rPr>
  </w:style>
  <w:style w:type="character" w:styleId="a5">
    <w:name w:val="footnote reference"/>
    <w:basedOn w:val="a0"/>
    <w:uiPriority w:val="99"/>
    <w:semiHidden/>
    <w:unhideWhenUsed/>
    <w:rsid w:val="00D92766"/>
    <w:rPr>
      <w:vertAlign w:val="superscript"/>
    </w:rPr>
  </w:style>
  <w:style w:type="paragraph" w:styleId="a6">
    <w:name w:val="List Paragraph"/>
    <w:basedOn w:val="a"/>
    <w:uiPriority w:val="34"/>
    <w:qFormat/>
    <w:rsid w:val="00F15C12"/>
    <w:pPr>
      <w:ind w:left="720"/>
      <w:contextualSpacing/>
    </w:pPr>
  </w:style>
  <w:style w:type="paragraph" w:styleId="a7">
    <w:name w:val="Balloon Text"/>
    <w:basedOn w:val="a"/>
    <w:link w:val="a8"/>
    <w:uiPriority w:val="99"/>
    <w:semiHidden/>
    <w:unhideWhenUsed/>
    <w:rsid w:val="00536A6E"/>
    <w:pPr>
      <w:spacing w:after="0" w:line="240" w:lineRule="auto"/>
    </w:pPr>
    <w:rPr>
      <w:rFonts w:ascii="Tahoma" w:hAnsi="Tahoma" w:cs="Tahoma"/>
      <w:sz w:val="18"/>
      <w:szCs w:val="18"/>
    </w:rPr>
  </w:style>
  <w:style w:type="character" w:customStyle="1" w:styleId="a8">
    <w:name w:val="טקסט בלונים תו"/>
    <w:basedOn w:val="a0"/>
    <w:link w:val="a7"/>
    <w:uiPriority w:val="99"/>
    <w:semiHidden/>
    <w:rsid w:val="00536A6E"/>
    <w:rPr>
      <w:rFonts w:ascii="Tahoma" w:hAnsi="Tahoma" w:cs="Tahoma"/>
      <w:sz w:val="18"/>
      <w:szCs w:val="18"/>
    </w:rPr>
  </w:style>
  <w:style w:type="paragraph" w:styleId="a9">
    <w:name w:val="header"/>
    <w:basedOn w:val="a"/>
    <w:link w:val="aa"/>
    <w:uiPriority w:val="99"/>
    <w:unhideWhenUsed/>
    <w:rsid w:val="009547F0"/>
    <w:pPr>
      <w:tabs>
        <w:tab w:val="center" w:pos="4153"/>
        <w:tab w:val="right" w:pos="8306"/>
      </w:tabs>
      <w:spacing w:after="0" w:line="240" w:lineRule="auto"/>
    </w:pPr>
  </w:style>
  <w:style w:type="character" w:customStyle="1" w:styleId="aa">
    <w:name w:val="כותרת עליונה תו"/>
    <w:basedOn w:val="a0"/>
    <w:link w:val="a9"/>
    <w:uiPriority w:val="99"/>
    <w:rsid w:val="009547F0"/>
  </w:style>
  <w:style w:type="paragraph" w:styleId="ab">
    <w:name w:val="footer"/>
    <w:basedOn w:val="a"/>
    <w:link w:val="ac"/>
    <w:uiPriority w:val="99"/>
    <w:unhideWhenUsed/>
    <w:rsid w:val="009547F0"/>
    <w:pPr>
      <w:tabs>
        <w:tab w:val="center" w:pos="4153"/>
        <w:tab w:val="right" w:pos="8306"/>
      </w:tabs>
      <w:spacing w:after="0" w:line="240" w:lineRule="auto"/>
    </w:pPr>
  </w:style>
  <w:style w:type="character" w:customStyle="1" w:styleId="ac">
    <w:name w:val="כותרת תחתונה תו"/>
    <w:basedOn w:val="a0"/>
    <w:link w:val="ab"/>
    <w:uiPriority w:val="99"/>
    <w:rsid w:val="00954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DA583-D829-48DB-9192-1D61F9AF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4719</TotalTime>
  <Pages>4</Pages>
  <Words>1271</Words>
  <Characters>6356</Characters>
  <Application>Microsoft Office Word</Application>
  <DocSecurity>0</DocSecurity>
  <Lines>52</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43</cp:revision>
  <cp:lastPrinted>2021-02-07T07:40:00Z</cp:lastPrinted>
  <dcterms:created xsi:type="dcterms:W3CDTF">2019-07-31T07:52:00Z</dcterms:created>
  <dcterms:modified xsi:type="dcterms:W3CDTF">2023-04-24T19:47:00Z</dcterms:modified>
</cp:coreProperties>
</file>