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028" w:rsidRPr="00DA3A9B" w:rsidRDefault="00193124" w:rsidP="00190B5F">
      <w:pPr>
        <w:jc w:val="both"/>
        <w:rPr>
          <w:rFonts w:asciiTheme="majorBidi" w:hAnsiTheme="majorBidi" w:cstheme="majorBidi"/>
          <w:rtl/>
        </w:rPr>
      </w:pPr>
      <w:r w:rsidRPr="00DA3A9B">
        <w:rPr>
          <w:rFonts w:asciiTheme="majorBidi" w:hAnsiTheme="majorBidi" w:cstheme="majorBidi"/>
          <w:rtl/>
        </w:rPr>
        <w:t>בעזרת השם יתברך</w:t>
      </w:r>
    </w:p>
    <w:p w:rsidR="00DA3A9B" w:rsidRPr="00DA3A9B" w:rsidRDefault="00DA3A9B" w:rsidP="00DA3A9B">
      <w:pPr>
        <w:jc w:val="center"/>
        <w:rPr>
          <w:rFonts w:asciiTheme="majorBidi" w:hAnsiTheme="majorBidi" w:cstheme="majorBidi"/>
          <w:b/>
          <w:bCs/>
          <w:rtl/>
        </w:rPr>
      </w:pPr>
      <w:r w:rsidRPr="00DA3A9B">
        <w:rPr>
          <w:rFonts w:asciiTheme="majorBidi" w:hAnsiTheme="majorBidi" w:cstheme="majorBidi"/>
          <w:b/>
          <w:bCs/>
          <w:rtl/>
        </w:rPr>
        <w:t>ציונים והערות</w:t>
      </w:r>
    </w:p>
    <w:p w:rsidR="00DA3A9B" w:rsidRPr="00DD1845" w:rsidRDefault="00DA3A9B" w:rsidP="00DA3A9B">
      <w:pPr>
        <w:jc w:val="center"/>
        <w:rPr>
          <w:rFonts w:asciiTheme="majorBidi" w:hAnsiTheme="majorBidi" w:cstheme="majorBidi"/>
          <w:b/>
          <w:bCs/>
          <w:sz w:val="24"/>
          <w:szCs w:val="24"/>
          <w:rtl/>
        </w:rPr>
      </w:pPr>
      <w:r w:rsidRPr="00DD1845">
        <w:rPr>
          <w:rFonts w:asciiTheme="majorBidi" w:hAnsiTheme="majorBidi" w:cstheme="majorBidi"/>
          <w:b/>
          <w:bCs/>
          <w:sz w:val="24"/>
          <w:szCs w:val="24"/>
          <w:rtl/>
        </w:rPr>
        <w:t>א, פירש קודם שנולד הספק.  ב, הכרעות סותרות.</w:t>
      </w:r>
    </w:p>
    <w:p w:rsidR="00DA3A9B" w:rsidRDefault="00DA3A9B" w:rsidP="00DA3A9B">
      <w:pPr>
        <w:jc w:val="center"/>
        <w:rPr>
          <w:rFonts w:asciiTheme="majorBidi" w:hAnsiTheme="majorBidi" w:cstheme="majorBidi"/>
          <w:b/>
          <w:bCs/>
          <w:rtl/>
        </w:rPr>
      </w:pPr>
    </w:p>
    <w:p w:rsidR="00190B5F" w:rsidRDefault="00190B5F" w:rsidP="00DA3A9B">
      <w:pPr>
        <w:jc w:val="center"/>
        <w:rPr>
          <w:rFonts w:asciiTheme="majorBidi" w:hAnsiTheme="majorBidi" w:cstheme="majorBidi"/>
          <w:b/>
          <w:bCs/>
          <w:rtl/>
        </w:rPr>
        <w:sectPr w:rsidR="00190B5F" w:rsidSect="008D39E8">
          <w:pgSz w:w="11906" w:h="16838"/>
          <w:pgMar w:top="1440" w:right="1800" w:bottom="1440" w:left="1800" w:header="708" w:footer="708" w:gutter="0"/>
          <w:cols w:space="708"/>
          <w:bidi/>
          <w:rtlGutter/>
          <w:docGrid w:linePitch="360"/>
        </w:sectPr>
      </w:pPr>
    </w:p>
    <w:p w:rsidR="00193124" w:rsidRPr="00190B5F" w:rsidRDefault="00DA3A9B" w:rsidP="00DA3A9B">
      <w:pPr>
        <w:jc w:val="center"/>
        <w:rPr>
          <w:rFonts w:asciiTheme="majorBidi" w:hAnsiTheme="majorBidi" w:cstheme="majorBidi"/>
          <w:b/>
          <w:bCs/>
          <w:sz w:val="28"/>
          <w:szCs w:val="28"/>
          <w:rtl/>
        </w:rPr>
      </w:pPr>
      <w:r w:rsidRPr="00190B5F">
        <w:rPr>
          <w:rFonts w:asciiTheme="majorBidi" w:hAnsiTheme="majorBidi" w:cstheme="majorBidi" w:hint="cs"/>
          <w:b/>
          <w:bCs/>
          <w:sz w:val="28"/>
          <w:szCs w:val="28"/>
          <w:rtl/>
        </w:rPr>
        <w:lastRenderedPageBreak/>
        <w:t xml:space="preserve">א, </w:t>
      </w:r>
      <w:r w:rsidRPr="00190B5F">
        <w:rPr>
          <w:rFonts w:asciiTheme="majorBidi" w:hAnsiTheme="majorBidi" w:cstheme="majorBidi"/>
          <w:b/>
          <w:bCs/>
          <w:sz w:val="28"/>
          <w:szCs w:val="28"/>
          <w:rtl/>
        </w:rPr>
        <w:t>פירש קודם שנולד הספק</w:t>
      </w:r>
    </w:p>
    <w:p w:rsidR="00115455" w:rsidRPr="00DA3A9B" w:rsidRDefault="00115455" w:rsidP="00190B5F">
      <w:pPr>
        <w:jc w:val="both"/>
        <w:rPr>
          <w:rFonts w:asciiTheme="majorBidi" w:hAnsiTheme="majorBidi" w:cstheme="majorBidi"/>
          <w:rtl/>
        </w:rPr>
      </w:pPr>
      <w:r w:rsidRPr="00DA3A9B">
        <w:rPr>
          <w:rFonts w:asciiTheme="majorBidi" w:hAnsiTheme="majorBidi" w:cstheme="majorBidi"/>
          <w:rtl/>
        </w:rPr>
        <w:t>התחדש בראשונים היתר נוסף בגדרי רוב וקבוע, והוא – כאשר הלקיחה ממקום הקבי</w:t>
      </w:r>
      <w:r w:rsidR="00CF19E0">
        <w:rPr>
          <w:rFonts w:asciiTheme="majorBidi" w:hAnsiTheme="majorBidi" w:cstheme="majorBidi"/>
          <w:rtl/>
        </w:rPr>
        <w:t>עות היתה קודם לידת הספק. ו</w:t>
      </w:r>
      <w:r w:rsidRPr="00DA3A9B">
        <w:rPr>
          <w:rFonts w:asciiTheme="majorBidi" w:hAnsiTheme="majorBidi" w:cstheme="majorBidi"/>
          <w:rtl/>
        </w:rPr>
        <w:t>יש בדבר כמה חילוקי סברות ומקרים המתבארים בלשונות הראשונים והפוסקים וכדלהלן:</w:t>
      </w:r>
    </w:p>
    <w:p w:rsidR="00447D02" w:rsidRPr="00DA3A9B" w:rsidRDefault="00447D02" w:rsidP="00190B5F">
      <w:pPr>
        <w:jc w:val="both"/>
        <w:rPr>
          <w:rFonts w:asciiTheme="majorBidi" w:hAnsiTheme="majorBidi" w:cstheme="majorBidi"/>
          <w:b/>
          <w:bCs/>
          <w:rtl/>
        </w:rPr>
      </w:pPr>
      <w:r w:rsidRPr="00DA3A9B">
        <w:rPr>
          <w:rFonts w:asciiTheme="majorBidi" w:hAnsiTheme="majorBidi" w:cstheme="majorBidi"/>
          <w:b/>
          <w:bCs/>
          <w:rtl/>
        </w:rPr>
        <w:t>דברי הרשב"א</w:t>
      </w:r>
      <w:r w:rsidR="0033526C" w:rsidRPr="00DA3A9B">
        <w:rPr>
          <w:rFonts w:asciiTheme="majorBidi" w:hAnsiTheme="majorBidi" w:cstheme="majorBidi"/>
          <w:b/>
          <w:bCs/>
          <w:rtl/>
        </w:rPr>
        <w:t xml:space="preserve"> </w:t>
      </w:r>
      <w:r w:rsidR="00190B5F">
        <w:rPr>
          <w:rFonts w:asciiTheme="majorBidi" w:hAnsiTheme="majorBidi" w:cstheme="majorBidi" w:hint="cs"/>
          <w:b/>
          <w:bCs/>
          <w:rtl/>
        </w:rPr>
        <w:t xml:space="preserve"> בתורת הבית </w:t>
      </w:r>
      <w:r w:rsidR="0033526C" w:rsidRPr="00DA3A9B">
        <w:rPr>
          <w:rFonts w:asciiTheme="majorBidi" w:hAnsiTheme="majorBidi" w:cstheme="majorBidi"/>
          <w:b/>
          <w:bCs/>
          <w:rtl/>
        </w:rPr>
        <w:t>[להבנת הפר"ח]</w:t>
      </w:r>
    </w:p>
    <w:p w:rsidR="00447D02" w:rsidRPr="00DA3A9B" w:rsidRDefault="00115455" w:rsidP="00190B5F">
      <w:pPr>
        <w:jc w:val="both"/>
        <w:rPr>
          <w:rFonts w:asciiTheme="majorBidi" w:hAnsiTheme="majorBidi" w:cstheme="majorBidi"/>
          <w:rtl/>
        </w:rPr>
      </w:pPr>
      <w:r w:rsidRPr="00DA3A9B">
        <w:rPr>
          <w:rFonts w:asciiTheme="majorBidi" w:hAnsiTheme="majorBidi" w:cstheme="majorBidi"/>
          <w:rtl/>
        </w:rPr>
        <w:t>בדברי הרשב"א</w:t>
      </w:r>
      <w:r w:rsidR="00193124" w:rsidRPr="00DA3A9B">
        <w:rPr>
          <w:rFonts w:asciiTheme="majorBidi" w:hAnsiTheme="majorBidi" w:cstheme="majorBidi"/>
          <w:rtl/>
        </w:rPr>
        <w:t xml:space="preserve">, </w:t>
      </w:r>
      <w:r w:rsidRPr="00DA3A9B">
        <w:rPr>
          <w:rFonts w:asciiTheme="majorBidi" w:hAnsiTheme="majorBidi" w:cstheme="majorBidi"/>
          <w:rtl/>
        </w:rPr>
        <w:t xml:space="preserve">כאשר מחדש היתר זה של לקיחה קודם שנולד הספק </w:t>
      </w:r>
      <w:r w:rsidR="00193124" w:rsidRPr="00DA3A9B">
        <w:rPr>
          <w:rFonts w:asciiTheme="majorBidi" w:hAnsiTheme="majorBidi" w:cstheme="majorBidi"/>
          <w:rtl/>
        </w:rPr>
        <w:t xml:space="preserve">הן בתוה"ב והן במשמרת, מבואר </w:t>
      </w:r>
      <w:r w:rsidRPr="00DA3A9B">
        <w:rPr>
          <w:rFonts w:asciiTheme="majorBidi" w:hAnsiTheme="majorBidi" w:cstheme="majorBidi"/>
          <w:rtl/>
        </w:rPr>
        <w:t xml:space="preserve">שמקורו הוא מהיתר דנמצא בשר. והיינו, שכל החילוק בין </w:t>
      </w:r>
      <w:r w:rsidR="0033526C" w:rsidRPr="00DA3A9B">
        <w:rPr>
          <w:rFonts w:asciiTheme="majorBidi" w:hAnsiTheme="majorBidi" w:cstheme="majorBidi"/>
          <w:rtl/>
        </w:rPr>
        <w:t>'</w:t>
      </w:r>
      <w:r w:rsidRPr="00DA3A9B">
        <w:rPr>
          <w:rFonts w:asciiTheme="majorBidi" w:hAnsiTheme="majorBidi" w:cstheme="majorBidi"/>
          <w:rtl/>
        </w:rPr>
        <w:t>נמצא</w:t>
      </w:r>
      <w:r w:rsidR="0033526C" w:rsidRPr="00DA3A9B">
        <w:rPr>
          <w:rFonts w:asciiTheme="majorBidi" w:hAnsiTheme="majorBidi" w:cstheme="majorBidi"/>
          <w:rtl/>
        </w:rPr>
        <w:t>'</w:t>
      </w:r>
      <w:r w:rsidRPr="00DA3A9B">
        <w:rPr>
          <w:rFonts w:asciiTheme="majorBidi" w:hAnsiTheme="majorBidi" w:cstheme="majorBidi"/>
          <w:rtl/>
        </w:rPr>
        <w:t xml:space="preserve"> ל</w:t>
      </w:r>
      <w:r w:rsidR="0033526C" w:rsidRPr="00DA3A9B">
        <w:rPr>
          <w:rFonts w:asciiTheme="majorBidi" w:hAnsiTheme="majorBidi" w:cstheme="majorBidi"/>
          <w:rtl/>
        </w:rPr>
        <w:t>'</w:t>
      </w:r>
      <w:r w:rsidRPr="00DA3A9B">
        <w:rPr>
          <w:rFonts w:asciiTheme="majorBidi" w:hAnsiTheme="majorBidi" w:cstheme="majorBidi"/>
          <w:rtl/>
        </w:rPr>
        <w:t>לקח</w:t>
      </w:r>
      <w:r w:rsidR="0033526C" w:rsidRPr="00DA3A9B">
        <w:rPr>
          <w:rFonts w:asciiTheme="majorBidi" w:hAnsiTheme="majorBidi" w:cstheme="majorBidi"/>
          <w:rtl/>
        </w:rPr>
        <w:t>'</w:t>
      </w:r>
      <w:r w:rsidRPr="00DA3A9B">
        <w:rPr>
          <w:rFonts w:asciiTheme="majorBidi" w:hAnsiTheme="majorBidi" w:cstheme="majorBidi"/>
          <w:rtl/>
        </w:rPr>
        <w:t xml:space="preserve">, אשר גורם את ההיתר בנמצא, הוא בהגדרת </w:t>
      </w:r>
      <w:r w:rsidR="0033526C" w:rsidRPr="00DA3A9B">
        <w:rPr>
          <w:rFonts w:asciiTheme="majorBidi" w:hAnsiTheme="majorBidi" w:cstheme="majorBidi"/>
          <w:rtl/>
        </w:rPr>
        <w:t>'</w:t>
      </w:r>
      <w:r w:rsidRPr="00DA3A9B">
        <w:rPr>
          <w:rFonts w:asciiTheme="majorBidi" w:hAnsiTheme="majorBidi" w:cstheme="majorBidi"/>
          <w:rtl/>
        </w:rPr>
        <w:t>שעת לידת הספק</w:t>
      </w:r>
      <w:r w:rsidR="0033526C" w:rsidRPr="00DA3A9B">
        <w:rPr>
          <w:rFonts w:asciiTheme="majorBidi" w:hAnsiTheme="majorBidi" w:cstheme="majorBidi"/>
          <w:rtl/>
        </w:rPr>
        <w:t>'</w:t>
      </w:r>
      <w:r w:rsidR="00E224EB" w:rsidRPr="00DA3A9B">
        <w:rPr>
          <w:rFonts w:asciiTheme="majorBidi" w:hAnsiTheme="majorBidi" w:cstheme="majorBidi"/>
          <w:rtl/>
        </w:rPr>
        <w:t xml:space="preserve">. </w:t>
      </w:r>
      <w:r w:rsidRPr="00DA3A9B">
        <w:rPr>
          <w:rFonts w:asciiTheme="majorBidi" w:hAnsiTheme="majorBidi" w:cstheme="majorBidi"/>
          <w:rtl/>
        </w:rPr>
        <w:t xml:space="preserve"> אשר</w:t>
      </w:r>
      <w:r w:rsidR="00193124" w:rsidRPr="00DA3A9B">
        <w:rPr>
          <w:rFonts w:asciiTheme="majorBidi" w:hAnsiTheme="majorBidi" w:cstheme="majorBidi"/>
          <w:rtl/>
        </w:rPr>
        <w:t xml:space="preserve"> ב</w:t>
      </w:r>
      <w:r w:rsidR="00E224EB" w:rsidRPr="00DA3A9B">
        <w:rPr>
          <w:rFonts w:asciiTheme="majorBidi" w:hAnsiTheme="majorBidi" w:cstheme="majorBidi"/>
          <w:rtl/>
        </w:rPr>
        <w:t>'</w:t>
      </w:r>
      <w:r w:rsidR="00193124" w:rsidRPr="00DA3A9B">
        <w:rPr>
          <w:rFonts w:asciiTheme="majorBidi" w:hAnsiTheme="majorBidi" w:cstheme="majorBidi"/>
          <w:rtl/>
        </w:rPr>
        <w:t>לקח</w:t>
      </w:r>
      <w:r w:rsidR="00E224EB" w:rsidRPr="00DA3A9B">
        <w:rPr>
          <w:rFonts w:asciiTheme="majorBidi" w:hAnsiTheme="majorBidi" w:cstheme="majorBidi"/>
          <w:rtl/>
        </w:rPr>
        <w:t>'</w:t>
      </w:r>
      <w:r w:rsidR="00193124" w:rsidRPr="00DA3A9B">
        <w:rPr>
          <w:rFonts w:asciiTheme="majorBidi" w:hAnsiTheme="majorBidi" w:cstheme="majorBidi"/>
          <w:rtl/>
        </w:rPr>
        <w:t xml:space="preserve">, </w:t>
      </w:r>
      <w:r w:rsidRPr="00DA3A9B">
        <w:rPr>
          <w:rFonts w:asciiTheme="majorBidi" w:hAnsiTheme="majorBidi" w:cstheme="majorBidi"/>
          <w:rtl/>
        </w:rPr>
        <w:t>לידת הספק נוצרת</w:t>
      </w:r>
      <w:r w:rsidR="00193124" w:rsidRPr="00DA3A9B">
        <w:rPr>
          <w:rFonts w:asciiTheme="majorBidi" w:hAnsiTheme="majorBidi" w:cstheme="majorBidi"/>
          <w:rtl/>
        </w:rPr>
        <w:t xml:space="preserve"> בשעה שעדיין הבשר קבוע. ואילו שעת לידת הספק ב</w:t>
      </w:r>
      <w:r w:rsidR="00E224EB" w:rsidRPr="00DA3A9B">
        <w:rPr>
          <w:rFonts w:asciiTheme="majorBidi" w:hAnsiTheme="majorBidi" w:cstheme="majorBidi"/>
          <w:rtl/>
        </w:rPr>
        <w:t>'</w:t>
      </w:r>
      <w:r w:rsidR="00193124" w:rsidRPr="00DA3A9B">
        <w:rPr>
          <w:rFonts w:asciiTheme="majorBidi" w:hAnsiTheme="majorBidi" w:cstheme="majorBidi"/>
          <w:rtl/>
        </w:rPr>
        <w:t>נמצא</w:t>
      </w:r>
      <w:r w:rsidR="00E224EB" w:rsidRPr="00DA3A9B">
        <w:rPr>
          <w:rFonts w:asciiTheme="majorBidi" w:hAnsiTheme="majorBidi" w:cstheme="majorBidi"/>
          <w:rtl/>
        </w:rPr>
        <w:t>'</w:t>
      </w:r>
      <w:r w:rsidR="00193124" w:rsidRPr="00DA3A9B">
        <w:rPr>
          <w:rFonts w:asciiTheme="majorBidi" w:hAnsiTheme="majorBidi" w:cstheme="majorBidi"/>
          <w:rtl/>
        </w:rPr>
        <w:t>, היא בשעה</w:t>
      </w:r>
      <w:r w:rsidR="00447D02" w:rsidRPr="00DA3A9B">
        <w:rPr>
          <w:rFonts w:asciiTheme="majorBidi" w:hAnsiTheme="majorBidi" w:cstheme="majorBidi"/>
          <w:rtl/>
        </w:rPr>
        <w:t xml:space="preserve"> שהבשר כבר אינו בק</w:t>
      </w:r>
      <w:r w:rsidR="00E224EB" w:rsidRPr="00DA3A9B">
        <w:rPr>
          <w:rFonts w:asciiTheme="majorBidi" w:hAnsiTheme="majorBidi" w:cstheme="majorBidi"/>
          <w:rtl/>
        </w:rPr>
        <w:t>ביעות.  וממילא טוען הרשב"א שגם במקרה של לקח, כל שבשעת הלקיחה עדיין לא נודע האיסור</w:t>
      </w:r>
      <w:r w:rsidR="00447D02" w:rsidRPr="00DA3A9B">
        <w:rPr>
          <w:rFonts w:asciiTheme="majorBidi" w:hAnsiTheme="majorBidi" w:cstheme="majorBidi"/>
          <w:rtl/>
        </w:rPr>
        <w:t xml:space="preserve"> ולא התעורר הספק, נמצא שבשעת התעוררות הספק, הבשר כבר אינו קבוע וממילא יש להתיר</w:t>
      </w:r>
      <w:r w:rsidR="00E224EB" w:rsidRPr="00DA3A9B">
        <w:rPr>
          <w:rFonts w:asciiTheme="majorBidi" w:hAnsiTheme="majorBidi" w:cstheme="majorBidi"/>
          <w:rtl/>
        </w:rPr>
        <w:t>, ממש כמו ב'נמצא'</w:t>
      </w:r>
      <w:r w:rsidR="00447D02" w:rsidRPr="00DA3A9B">
        <w:rPr>
          <w:rFonts w:asciiTheme="majorBidi" w:hAnsiTheme="majorBidi" w:cstheme="majorBidi"/>
          <w:rtl/>
        </w:rPr>
        <w:t xml:space="preserve">.   וכל מה שמסכים הרשב"א </w:t>
      </w:r>
      <w:r w:rsidR="00E224EB" w:rsidRPr="00DA3A9B">
        <w:rPr>
          <w:rFonts w:asciiTheme="majorBidi" w:hAnsiTheme="majorBidi" w:cstheme="majorBidi"/>
          <w:rtl/>
        </w:rPr>
        <w:t xml:space="preserve">(במשמרת) להוציא מכלל היתר זה, הוא רק מקרה </w:t>
      </w:r>
      <w:r w:rsidR="00447D02" w:rsidRPr="00DA3A9B">
        <w:rPr>
          <w:rFonts w:asciiTheme="majorBidi" w:hAnsiTheme="majorBidi" w:cstheme="majorBidi"/>
          <w:rtl/>
        </w:rPr>
        <w:t>ש</w:t>
      </w:r>
      <w:r w:rsidR="00E224EB" w:rsidRPr="00DA3A9B">
        <w:rPr>
          <w:rFonts w:asciiTheme="majorBidi" w:hAnsiTheme="majorBidi" w:cstheme="majorBidi"/>
          <w:rtl/>
        </w:rPr>
        <w:t xml:space="preserve">רק </w:t>
      </w:r>
      <w:r w:rsidR="00447D02" w:rsidRPr="00DA3A9B">
        <w:rPr>
          <w:rFonts w:asciiTheme="majorBidi" w:hAnsiTheme="majorBidi" w:cstheme="majorBidi"/>
          <w:rtl/>
        </w:rPr>
        <w:t>הלוקח לא ידע שיש כאן בשר טריפה, אבל לציבור דבר זה היה ידוע</w:t>
      </w:r>
      <w:r w:rsidR="00E224EB" w:rsidRPr="00DA3A9B">
        <w:rPr>
          <w:rFonts w:asciiTheme="majorBidi" w:hAnsiTheme="majorBidi" w:cstheme="majorBidi"/>
          <w:rtl/>
        </w:rPr>
        <w:t>, ובכה"ג</w:t>
      </w:r>
      <w:r w:rsidR="00447D02" w:rsidRPr="00DA3A9B">
        <w:rPr>
          <w:rFonts w:asciiTheme="majorBidi" w:hAnsiTheme="majorBidi" w:cstheme="majorBidi"/>
          <w:rtl/>
        </w:rPr>
        <w:t xml:space="preserve"> ההגדרה </w:t>
      </w:r>
      <w:r w:rsidR="00E224EB" w:rsidRPr="00DA3A9B">
        <w:rPr>
          <w:rFonts w:asciiTheme="majorBidi" w:hAnsiTheme="majorBidi" w:cstheme="majorBidi"/>
          <w:rtl/>
        </w:rPr>
        <w:t xml:space="preserve">הנכונה היא </w:t>
      </w:r>
      <w:r w:rsidR="00447D02" w:rsidRPr="00DA3A9B">
        <w:rPr>
          <w:rFonts w:asciiTheme="majorBidi" w:hAnsiTheme="majorBidi" w:cstheme="majorBidi"/>
          <w:rtl/>
        </w:rPr>
        <w:t>שהספק נולד מראש, כבר בשעת הקביעות של הבשר</w:t>
      </w:r>
      <w:r w:rsidR="00BA253E">
        <w:rPr>
          <w:rStyle w:val="a7"/>
          <w:rFonts w:asciiTheme="majorBidi" w:hAnsiTheme="majorBidi" w:cstheme="majorBidi"/>
          <w:rtl/>
        </w:rPr>
        <w:footnoteReference w:id="1"/>
      </w:r>
      <w:r w:rsidR="00447D02" w:rsidRPr="00DA3A9B">
        <w:rPr>
          <w:rFonts w:asciiTheme="majorBidi" w:hAnsiTheme="majorBidi" w:cstheme="majorBidi"/>
          <w:rtl/>
        </w:rPr>
        <w:t xml:space="preserve">. </w:t>
      </w:r>
      <w:r w:rsidR="00E224EB" w:rsidRPr="00DA3A9B">
        <w:rPr>
          <w:rFonts w:asciiTheme="majorBidi" w:hAnsiTheme="majorBidi" w:cstheme="majorBidi"/>
          <w:rtl/>
        </w:rPr>
        <w:t xml:space="preserve"> אלו הם דברי הרשב"א כפי מה שעולה מפשטות לשונו</w:t>
      </w:r>
      <w:r w:rsidR="00447D02" w:rsidRPr="00DA3A9B">
        <w:rPr>
          <w:rFonts w:asciiTheme="majorBidi" w:hAnsiTheme="majorBidi" w:cstheme="majorBidi"/>
          <w:rtl/>
        </w:rPr>
        <w:t>, וכן הבינם הפר"ח</w:t>
      </w:r>
      <w:r w:rsidR="0033526C" w:rsidRPr="00DA3A9B">
        <w:rPr>
          <w:rFonts w:asciiTheme="majorBidi" w:hAnsiTheme="majorBidi" w:cstheme="majorBidi"/>
          <w:rtl/>
        </w:rPr>
        <w:t xml:space="preserve"> והסכים עמו היד יהודה</w:t>
      </w:r>
      <w:r w:rsidR="009277FF">
        <w:rPr>
          <w:rStyle w:val="a7"/>
          <w:rFonts w:asciiTheme="majorBidi" w:hAnsiTheme="majorBidi" w:cstheme="majorBidi"/>
          <w:rtl/>
        </w:rPr>
        <w:footnoteReference w:id="2"/>
      </w:r>
      <w:r w:rsidR="00447D02" w:rsidRPr="00DA3A9B">
        <w:rPr>
          <w:rFonts w:asciiTheme="majorBidi" w:hAnsiTheme="majorBidi" w:cstheme="majorBidi"/>
          <w:rtl/>
        </w:rPr>
        <w:t>.</w:t>
      </w:r>
    </w:p>
    <w:p w:rsidR="00190B5F" w:rsidRDefault="00190B5F" w:rsidP="00190B5F">
      <w:pPr>
        <w:jc w:val="both"/>
        <w:rPr>
          <w:rFonts w:asciiTheme="majorBidi" w:hAnsiTheme="majorBidi" w:cstheme="majorBidi"/>
          <w:b/>
          <w:bCs/>
          <w:rtl/>
        </w:rPr>
      </w:pPr>
    </w:p>
    <w:p w:rsidR="00447D02" w:rsidRPr="00DA3A9B" w:rsidRDefault="00447D02" w:rsidP="00190B5F">
      <w:pPr>
        <w:jc w:val="both"/>
        <w:rPr>
          <w:rFonts w:asciiTheme="majorBidi" w:hAnsiTheme="majorBidi" w:cstheme="majorBidi"/>
          <w:b/>
          <w:bCs/>
          <w:rtl/>
        </w:rPr>
      </w:pPr>
      <w:r w:rsidRPr="00DA3A9B">
        <w:rPr>
          <w:rFonts w:asciiTheme="majorBidi" w:hAnsiTheme="majorBidi" w:cstheme="majorBidi"/>
          <w:b/>
          <w:bCs/>
          <w:rtl/>
        </w:rPr>
        <w:t xml:space="preserve">דברי הרא"ה </w:t>
      </w:r>
      <w:r w:rsidR="00190B5F">
        <w:rPr>
          <w:rFonts w:asciiTheme="majorBidi" w:hAnsiTheme="majorBidi" w:cstheme="majorBidi" w:hint="cs"/>
          <w:b/>
          <w:bCs/>
          <w:rtl/>
        </w:rPr>
        <w:t>בבדק הבית</w:t>
      </w:r>
    </w:p>
    <w:p w:rsidR="00447D02" w:rsidRPr="00DA3A9B" w:rsidRDefault="00115455" w:rsidP="00190B5F">
      <w:pPr>
        <w:jc w:val="both"/>
        <w:rPr>
          <w:rFonts w:asciiTheme="majorBidi" w:hAnsiTheme="majorBidi" w:cstheme="majorBidi"/>
          <w:rtl/>
        </w:rPr>
      </w:pPr>
      <w:r w:rsidRPr="00DA3A9B">
        <w:rPr>
          <w:rFonts w:asciiTheme="majorBidi" w:hAnsiTheme="majorBidi" w:cstheme="majorBidi"/>
          <w:rtl/>
        </w:rPr>
        <w:t>דעת הרא"ה</w:t>
      </w:r>
      <w:r w:rsidR="00447D02" w:rsidRPr="00DA3A9B">
        <w:rPr>
          <w:rFonts w:asciiTheme="majorBidi" w:hAnsiTheme="majorBidi" w:cstheme="majorBidi"/>
          <w:rtl/>
        </w:rPr>
        <w:t>, שיש להגביל היתר זה</w:t>
      </w:r>
      <w:r w:rsidR="00E224EB" w:rsidRPr="00DA3A9B">
        <w:rPr>
          <w:rFonts w:asciiTheme="majorBidi" w:hAnsiTheme="majorBidi" w:cstheme="majorBidi"/>
          <w:rtl/>
        </w:rPr>
        <w:t xml:space="preserve"> של לקיחה קודם לידת הספק</w:t>
      </w:r>
      <w:r w:rsidR="00447D02" w:rsidRPr="00DA3A9B">
        <w:rPr>
          <w:rFonts w:asciiTheme="majorBidi" w:hAnsiTheme="majorBidi" w:cstheme="majorBidi"/>
          <w:rtl/>
        </w:rPr>
        <w:t xml:space="preserve">, אף שמסכים עם עיקר </w:t>
      </w:r>
      <w:r w:rsidR="00E224EB" w:rsidRPr="00DA3A9B">
        <w:rPr>
          <w:rFonts w:asciiTheme="majorBidi" w:hAnsiTheme="majorBidi" w:cstheme="majorBidi"/>
          <w:rtl/>
        </w:rPr>
        <w:t xml:space="preserve">סברת </w:t>
      </w:r>
      <w:r w:rsidR="00447D02" w:rsidRPr="00DA3A9B">
        <w:rPr>
          <w:rFonts w:asciiTheme="majorBidi" w:hAnsiTheme="majorBidi" w:cstheme="majorBidi"/>
          <w:rtl/>
        </w:rPr>
        <w:t xml:space="preserve">ההיתר. </w:t>
      </w:r>
      <w:r w:rsidRPr="00DA3A9B">
        <w:rPr>
          <w:rFonts w:asciiTheme="majorBidi" w:hAnsiTheme="majorBidi" w:cstheme="majorBidi"/>
          <w:rtl/>
        </w:rPr>
        <w:t xml:space="preserve"> ודברי הרא"ה יש לפרש</w:t>
      </w:r>
      <w:r w:rsidR="00C43EC1">
        <w:rPr>
          <w:rStyle w:val="a7"/>
          <w:rFonts w:asciiTheme="majorBidi" w:hAnsiTheme="majorBidi" w:cstheme="majorBidi"/>
          <w:rtl/>
        </w:rPr>
        <w:footnoteReference w:id="3"/>
      </w:r>
      <w:r w:rsidRPr="00DA3A9B">
        <w:rPr>
          <w:rFonts w:asciiTheme="majorBidi" w:hAnsiTheme="majorBidi" w:cstheme="majorBidi"/>
          <w:rtl/>
        </w:rPr>
        <w:t xml:space="preserve"> לפחות באחד משני האופנים דלהלן:</w:t>
      </w:r>
    </w:p>
    <w:p w:rsidR="00E224EB" w:rsidRPr="00DA3A9B" w:rsidRDefault="00115455" w:rsidP="00190B5F">
      <w:pPr>
        <w:jc w:val="both"/>
        <w:rPr>
          <w:rFonts w:asciiTheme="majorBidi" w:hAnsiTheme="majorBidi" w:cstheme="majorBidi"/>
          <w:rtl/>
        </w:rPr>
      </w:pPr>
      <w:r w:rsidRPr="00DA3A9B">
        <w:rPr>
          <w:rFonts w:asciiTheme="majorBidi" w:hAnsiTheme="majorBidi" w:cstheme="majorBidi"/>
          <w:rtl/>
        </w:rPr>
        <w:lastRenderedPageBreak/>
        <w:t>א, גם אם בפועל האיסור נודע רק לאחר הלקיחה, לא</w:t>
      </w:r>
      <w:r w:rsidR="00447D02" w:rsidRPr="00DA3A9B">
        <w:rPr>
          <w:rFonts w:asciiTheme="majorBidi" w:hAnsiTheme="majorBidi" w:cstheme="majorBidi"/>
          <w:rtl/>
        </w:rPr>
        <w:t xml:space="preserve"> תמיד </w:t>
      </w:r>
      <w:r w:rsidRPr="00DA3A9B">
        <w:rPr>
          <w:rFonts w:asciiTheme="majorBidi" w:hAnsiTheme="majorBidi" w:cstheme="majorBidi"/>
          <w:rtl/>
        </w:rPr>
        <w:t xml:space="preserve">הרי זה </w:t>
      </w:r>
      <w:r w:rsidR="00447D02" w:rsidRPr="00DA3A9B">
        <w:rPr>
          <w:rFonts w:asciiTheme="majorBidi" w:hAnsiTheme="majorBidi" w:cstheme="majorBidi"/>
          <w:rtl/>
        </w:rPr>
        <w:t>מוגדר שהספק מתעורר רק כשנודע האיסור.  והיינו, שכאשר לאחר שנודע האיסור</w:t>
      </w:r>
      <w:r w:rsidR="00E772B1" w:rsidRPr="00DA3A9B">
        <w:rPr>
          <w:rFonts w:asciiTheme="majorBidi" w:hAnsiTheme="majorBidi" w:cstheme="majorBidi"/>
          <w:rtl/>
        </w:rPr>
        <w:t xml:space="preserve"> התברר שחנות ידועה מכרה בשר טריפה, אלא שהלוקח אינו זוכר היכן קנה.  ממילא נמצא שהספק הוא, היכן נקנה בשר זה. וספק זה מוגדר שנולד עוד בשעת קביעות הבשר, כיון שאז כבר התחיל נושא זה אף שלא היתה בו נפ"מ.  </w:t>
      </w:r>
      <w:r w:rsidR="00E224EB" w:rsidRPr="00DA3A9B">
        <w:rPr>
          <w:rFonts w:asciiTheme="majorBidi" w:hAnsiTheme="majorBidi" w:cstheme="majorBidi"/>
          <w:rtl/>
        </w:rPr>
        <w:t>[</w:t>
      </w:r>
      <w:r w:rsidR="00E772B1" w:rsidRPr="00DA3A9B">
        <w:rPr>
          <w:rFonts w:asciiTheme="majorBidi" w:hAnsiTheme="majorBidi" w:cstheme="majorBidi"/>
          <w:rtl/>
        </w:rPr>
        <w:t>ומסתימות דברי הרא"ה נראה שאין כו</w:t>
      </w:r>
      <w:r w:rsidR="00907DD0" w:rsidRPr="00DA3A9B">
        <w:rPr>
          <w:rFonts w:asciiTheme="majorBidi" w:hAnsiTheme="majorBidi" w:cstheme="majorBidi"/>
          <w:rtl/>
        </w:rPr>
        <w:t>ונתו דווקא למקרה לא שגרתי ש</w:t>
      </w:r>
      <w:r w:rsidR="00E772B1" w:rsidRPr="00DA3A9B">
        <w:rPr>
          <w:rFonts w:asciiTheme="majorBidi" w:hAnsiTheme="majorBidi" w:cstheme="majorBidi"/>
          <w:rtl/>
        </w:rPr>
        <w:t>כבר בשעת לקיחת הבשר לא ידע הלוקח היכן נמצא. אלא אף כאשר רק לאחר הלקיחה שכח מהיכן לקח, גם זה מוגדר שהספק קיים כבר משעת הלקיחה, כיון שנושא הלקיחה היה ידוע מאז, אלא שאז ידע היכן לקח, ואח"כ שכח.</w:t>
      </w:r>
      <w:r w:rsidR="00E224EB" w:rsidRPr="00DA3A9B">
        <w:rPr>
          <w:rFonts w:asciiTheme="majorBidi" w:hAnsiTheme="majorBidi" w:cstheme="majorBidi"/>
          <w:rtl/>
        </w:rPr>
        <w:t>]</w:t>
      </w:r>
      <w:r w:rsidR="00E772B1" w:rsidRPr="00DA3A9B">
        <w:rPr>
          <w:rFonts w:asciiTheme="majorBidi" w:hAnsiTheme="majorBidi" w:cstheme="majorBidi"/>
          <w:rtl/>
        </w:rPr>
        <w:t xml:space="preserve">   </w:t>
      </w:r>
    </w:p>
    <w:p w:rsidR="00447D02" w:rsidRPr="00DA3A9B" w:rsidRDefault="00E772B1" w:rsidP="00190B5F">
      <w:pPr>
        <w:jc w:val="both"/>
        <w:rPr>
          <w:rFonts w:asciiTheme="majorBidi" w:hAnsiTheme="majorBidi" w:cstheme="majorBidi"/>
          <w:rtl/>
        </w:rPr>
      </w:pPr>
      <w:r w:rsidRPr="00DA3A9B">
        <w:rPr>
          <w:rFonts w:asciiTheme="majorBidi" w:hAnsiTheme="majorBidi" w:cstheme="majorBidi"/>
          <w:rtl/>
        </w:rPr>
        <w:t>משא"כ כאשר אין ידוע איזו חנות היא החנות שמכרה בשר אסור, ונמצא שצורת הספק היא איזו חנות מכרה בשר אסור, ונושא זה לא היה קיים כלל קודם שנודע האיסור, וממילא מוגדר שנולד הספק לאחר הפרישה.</w:t>
      </w:r>
      <w:r w:rsidR="00115455" w:rsidRPr="00DA3A9B">
        <w:rPr>
          <w:rFonts w:asciiTheme="majorBidi" w:hAnsiTheme="majorBidi" w:cstheme="majorBidi"/>
          <w:rtl/>
        </w:rPr>
        <w:t xml:space="preserve"> [</w:t>
      </w:r>
      <w:r w:rsidR="00907DD0" w:rsidRPr="00DA3A9B">
        <w:rPr>
          <w:rFonts w:asciiTheme="majorBidi" w:hAnsiTheme="majorBidi" w:cstheme="majorBidi"/>
          <w:rtl/>
        </w:rPr>
        <w:t>כך לכאורה היא פשטות דברי הרא"ה, ואולי כך הבינם החוו"ד בדעת הש"ך.]</w:t>
      </w:r>
    </w:p>
    <w:p w:rsidR="00907DD0" w:rsidRPr="00DA3A9B" w:rsidRDefault="00907DD0" w:rsidP="00190B5F">
      <w:pPr>
        <w:jc w:val="both"/>
        <w:rPr>
          <w:rFonts w:asciiTheme="majorBidi" w:hAnsiTheme="majorBidi" w:cstheme="majorBidi"/>
          <w:rtl/>
        </w:rPr>
      </w:pPr>
      <w:r w:rsidRPr="00DA3A9B">
        <w:rPr>
          <w:rFonts w:asciiTheme="majorBidi" w:hAnsiTheme="majorBidi" w:cstheme="majorBidi"/>
          <w:rtl/>
        </w:rPr>
        <w:t xml:space="preserve">ב, כל שהספק תלוי בברירת החנויות, הרי זה מוגדר ספק של קבוע [כיון שהחנויות </w:t>
      </w:r>
      <w:r w:rsidR="00630AA5" w:rsidRPr="00DA3A9B">
        <w:rPr>
          <w:rFonts w:asciiTheme="majorBidi" w:hAnsiTheme="majorBidi" w:cstheme="majorBidi"/>
          <w:rtl/>
        </w:rPr>
        <w:t xml:space="preserve">עצמן </w:t>
      </w:r>
      <w:r w:rsidRPr="00DA3A9B">
        <w:rPr>
          <w:rFonts w:asciiTheme="majorBidi" w:hAnsiTheme="majorBidi" w:cstheme="majorBidi"/>
          <w:rtl/>
        </w:rPr>
        <w:t>לעולם קבועות, או משום שהבשר כאשר היה בחנות, היה קבוע]. ורק כאשר הספק אינו מצד החנויות אלא רק מצד הבשר, אזי אמרינן שבהתעוררות הספק לאחר הלקיחה, אין כאן דין קבוע.</w:t>
      </w:r>
    </w:p>
    <w:p w:rsidR="00907DD0" w:rsidRPr="00DA3A9B" w:rsidRDefault="00514B1F" w:rsidP="00190B5F">
      <w:pPr>
        <w:jc w:val="both"/>
        <w:rPr>
          <w:rFonts w:asciiTheme="majorBidi" w:hAnsiTheme="majorBidi" w:cstheme="majorBidi"/>
          <w:rtl/>
        </w:rPr>
      </w:pPr>
      <w:r w:rsidRPr="00DA3A9B">
        <w:rPr>
          <w:rFonts w:asciiTheme="majorBidi" w:hAnsiTheme="majorBidi" w:cstheme="majorBidi"/>
          <w:rtl/>
        </w:rPr>
        <w:t xml:space="preserve">וכאן יש לדון אילו מקרים שלל הרא"ה בהגדרה זו.  דהנה זה ברור שכאשר נודעה החנות האסורה, והוא אינו זוכר היכן לקח, בכה"ג לא יתיר הרא"ה. </w:t>
      </w:r>
      <w:r w:rsidR="00D8343D" w:rsidRPr="00DA3A9B">
        <w:rPr>
          <w:rFonts w:asciiTheme="majorBidi" w:hAnsiTheme="majorBidi" w:cstheme="majorBidi"/>
          <w:rtl/>
        </w:rPr>
        <w:t xml:space="preserve">  </w:t>
      </w:r>
      <w:r w:rsidRPr="00DA3A9B">
        <w:rPr>
          <w:rFonts w:asciiTheme="majorBidi" w:hAnsiTheme="majorBidi" w:cstheme="majorBidi"/>
          <w:rtl/>
        </w:rPr>
        <w:t xml:space="preserve">ומה שיש להסתפק במקרה שבו לא נודעה החנות האסורה, האם נימא שכיון שהחנות ממילא אינה ידועה, אין העמדת הספק על החנויות אלא על הבשר וממילא אין כאן קבוע. </w:t>
      </w:r>
      <w:r w:rsidR="00D8343D" w:rsidRPr="00DA3A9B">
        <w:rPr>
          <w:rFonts w:asciiTheme="majorBidi" w:hAnsiTheme="majorBidi" w:cstheme="majorBidi"/>
          <w:rtl/>
        </w:rPr>
        <w:t xml:space="preserve">    </w:t>
      </w:r>
      <w:r w:rsidRPr="00DA3A9B">
        <w:rPr>
          <w:rFonts w:asciiTheme="majorBidi" w:hAnsiTheme="majorBidi" w:cstheme="majorBidi"/>
          <w:rtl/>
        </w:rPr>
        <w:t xml:space="preserve">או דנימא שכיון שסו"ס חנות מסויימת </w:t>
      </w:r>
      <w:r w:rsidRPr="00DA3A9B">
        <w:rPr>
          <w:rFonts w:asciiTheme="majorBidi" w:hAnsiTheme="majorBidi" w:cstheme="majorBidi"/>
          <w:rtl/>
        </w:rPr>
        <w:lastRenderedPageBreak/>
        <w:t xml:space="preserve">היא שמכרה בשר טריפה, ממילא העמדת הספק היא על החנויות והוי קבוע.   </w:t>
      </w:r>
    </w:p>
    <w:p w:rsidR="00190B5F" w:rsidRDefault="00190B5F" w:rsidP="00190B5F">
      <w:pPr>
        <w:jc w:val="both"/>
        <w:rPr>
          <w:rFonts w:asciiTheme="majorBidi" w:hAnsiTheme="majorBidi" w:cstheme="majorBidi"/>
          <w:rtl/>
        </w:rPr>
      </w:pPr>
    </w:p>
    <w:p w:rsidR="00E12DA4" w:rsidRPr="00DA3A9B" w:rsidRDefault="00E12DA4" w:rsidP="00190B5F">
      <w:pPr>
        <w:jc w:val="both"/>
        <w:rPr>
          <w:rFonts w:asciiTheme="majorBidi" w:hAnsiTheme="majorBidi" w:cstheme="majorBidi"/>
          <w:b/>
          <w:bCs/>
          <w:rtl/>
        </w:rPr>
      </w:pPr>
      <w:r w:rsidRPr="00DA3A9B">
        <w:rPr>
          <w:rFonts w:asciiTheme="majorBidi" w:hAnsiTheme="majorBidi" w:cstheme="majorBidi"/>
          <w:b/>
          <w:bCs/>
          <w:rtl/>
        </w:rPr>
        <w:t>דברי הר"ן</w:t>
      </w:r>
      <w:r w:rsidR="00190B5F">
        <w:rPr>
          <w:rFonts w:asciiTheme="majorBidi" w:hAnsiTheme="majorBidi" w:cstheme="majorBidi" w:hint="cs"/>
          <w:b/>
          <w:bCs/>
          <w:rtl/>
        </w:rPr>
        <w:t xml:space="preserve"> בחולין</w:t>
      </w:r>
    </w:p>
    <w:p w:rsidR="00115455" w:rsidRPr="00DA3A9B" w:rsidRDefault="00E12DA4" w:rsidP="00190B5F">
      <w:pPr>
        <w:jc w:val="both"/>
        <w:rPr>
          <w:rFonts w:asciiTheme="majorBidi" w:hAnsiTheme="majorBidi" w:cstheme="majorBidi"/>
          <w:rtl/>
        </w:rPr>
      </w:pPr>
      <w:r w:rsidRPr="00DA3A9B">
        <w:rPr>
          <w:rFonts w:asciiTheme="majorBidi" w:hAnsiTheme="majorBidi" w:cstheme="majorBidi"/>
          <w:rtl/>
        </w:rPr>
        <w:t>הר"ן התיר את התירו של הרשב"א, אך בנימוק אחר לגמרי. ומבואר בדבריו, שמה ש</w:t>
      </w:r>
      <w:r w:rsidR="00115455" w:rsidRPr="00DA3A9B">
        <w:rPr>
          <w:rFonts w:asciiTheme="majorBidi" w:hAnsiTheme="majorBidi" w:cstheme="majorBidi"/>
          <w:rtl/>
        </w:rPr>
        <w:t>לא היה ידוע האיסור מראש, לא רק גורם שבשעת הלקיחה לא נולד הספק,  אלא גם שהלקיחה לא היתה מהקבוע</w:t>
      </w:r>
      <w:r w:rsidRPr="00DA3A9B">
        <w:rPr>
          <w:rFonts w:asciiTheme="majorBidi" w:hAnsiTheme="majorBidi" w:cstheme="majorBidi"/>
          <w:rtl/>
        </w:rPr>
        <w:t xml:space="preserve">. </w:t>
      </w:r>
      <w:r w:rsidR="00115455" w:rsidRPr="00DA3A9B">
        <w:rPr>
          <w:rFonts w:asciiTheme="majorBidi" w:hAnsiTheme="majorBidi" w:cstheme="majorBidi"/>
          <w:rtl/>
        </w:rPr>
        <w:t>ומשום ש</w:t>
      </w:r>
      <w:r w:rsidRPr="00DA3A9B">
        <w:rPr>
          <w:rFonts w:asciiTheme="majorBidi" w:hAnsiTheme="majorBidi" w:cstheme="majorBidi"/>
          <w:rtl/>
        </w:rPr>
        <w:t xml:space="preserve">כל עוד לא נודע האיסור כלל, לא שייך להגדיר </w:t>
      </w:r>
      <w:r w:rsidR="00115455" w:rsidRPr="00DA3A9B">
        <w:rPr>
          <w:rFonts w:asciiTheme="majorBidi" w:hAnsiTheme="majorBidi" w:cstheme="majorBidi"/>
          <w:rtl/>
        </w:rPr>
        <w:t>את החנויות והבשר כקבועים. (וכנראה</w:t>
      </w:r>
      <w:r w:rsidRPr="00DA3A9B">
        <w:rPr>
          <w:rFonts w:asciiTheme="majorBidi" w:hAnsiTheme="majorBidi" w:cstheme="majorBidi"/>
          <w:rtl/>
        </w:rPr>
        <w:t xml:space="preserve"> משום שכל הגדרת </w:t>
      </w:r>
      <w:r w:rsidR="00115455" w:rsidRPr="00DA3A9B">
        <w:rPr>
          <w:rFonts w:asciiTheme="majorBidi" w:hAnsiTheme="majorBidi" w:cstheme="majorBidi"/>
          <w:rtl/>
        </w:rPr>
        <w:t>'</w:t>
      </w:r>
      <w:r w:rsidRPr="00DA3A9B">
        <w:rPr>
          <w:rFonts w:asciiTheme="majorBidi" w:hAnsiTheme="majorBidi" w:cstheme="majorBidi"/>
          <w:rtl/>
        </w:rPr>
        <w:t>קבוע</w:t>
      </w:r>
      <w:r w:rsidR="00115455" w:rsidRPr="00DA3A9B">
        <w:rPr>
          <w:rFonts w:asciiTheme="majorBidi" w:hAnsiTheme="majorBidi" w:cstheme="majorBidi"/>
          <w:rtl/>
        </w:rPr>
        <w:t>'</w:t>
      </w:r>
      <w:r w:rsidRPr="00DA3A9B">
        <w:rPr>
          <w:rFonts w:asciiTheme="majorBidi" w:hAnsiTheme="majorBidi" w:cstheme="majorBidi"/>
          <w:rtl/>
        </w:rPr>
        <w:t xml:space="preserve"> ה</w:t>
      </w:r>
      <w:r w:rsidR="00115455" w:rsidRPr="00DA3A9B">
        <w:rPr>
          <w:rFonts w:asciiTheme="majorBidi" w:hAnsiTheme="majorBidi" w:cstheme="majorBidi"/>
          <w:rtl/>
        </w:rPr>
        <w:t>יא שידוע על איסור שמעורב כאן בין ההיתר</w:t>
      </w:r>
      <w:r w:rsidRPr="00DA3A9B">
        <w:rPr>
          <w:rFonts w:asciiTheme="majorBidi" w:hAnsiTheme="majorBidi" w:cstheme="majorBidi"/>
          <w:rtl/>
        </w:rPr>
        <w:t xml:space="preserve">.) </w:t>
      </w:r>
    </w:p>
    <w:p w:rsidR="00630AA5" w:rsidRPr="00DA3A9B" w:rsidRDefault="00E12DA4" w:rsidP="00190B5F">
      <w:pPr>
        <w:jc w:val="both"/>
        <w:rPr>
          <w:rFonts w:asciiTheme="majorBidi" w:hAnsiTheme="majorBidi" w:cstheme="majorBidi"/>
          <w:rtl/>
        </w:rPr>
      </w:pPr>
      <w:r w:rsidRPr="00DA3A9B">
        <w:rPr>
          <w:rFonts w:asciiTheme="majorBidi" w:hAnsiTheme="majorBidi" w:cstheme="majorBidi"/>
          <w:rtl/>
        </w:rPr>
        <w:t xml:space="preserve">ומבואר בדברי הר"ן שנהי אמנם שבשעה שנודע האיסור, ממילא למפרע </w:t>
      </w:r>
      <w:r w:rsidR="00D8343D" w:rsidRPr="00DA3A9B">
        <w:rPr>
          <w:rFonts w:asciiTheme="majorBidi" w:hAnsiTheme="majorBidi" w:cstheme="majorBidi"/>
          <w:rtl/>
        </w:rPr>
        <w:t>מתברר שבשעת הלקיחה היתה כאן קביעות, והסברא הפשוטה היתה לדון מעתה את הלקיחה כלקיחה מהקבוע, אבל כיון שקבוע חידוש הוא, אמרינן אין לך בו אלא חידושו ולא דנים את הלקיחה למפרע כלקיחה מהקבוע.</w:t>
      </w:r>
    </w:p>
    <w:p w:rsidR="00752578" w:rsidRPr="00DA3A9B" w:rsidRDefault="00752578" w:rsidP="00190B5F">
      <w:pPr>
        <w:jc w:val="both"/>
        <w:rPr>
          <w:rFonts w:asciiTheme="majorBidi" w:hAnsiTheme="majorBidi" w:cstheme="majorBidi"/>
          <w:b/>
          <w:bCs/>
          <w:rtl/>
        </w:rPr>
      </w:pPr>
      <w:r w:rsidRPr="00DA3A9B">
        <w:rPr>
          <w:rFonts w:asciiTheme="majorBidi" w:hAnsiTheme="majorBidi" w:cstheme="majorBidi"/>
          <w:b/>
          <w:bCs/>
          <w:rtl/>
        </w:rPr>
        <w:t>דברי הש"ך</w:t>
      </w:r>
      <w:r w:rsidR="00190B5F">
        <w:rPr>
          <w:rFonts w:asciiTheme="majorBidi" w:hAnsiTheme="majorBidi" w:cstheme="majorBidi" w:hint="cs"/>
          <w:b/>
          <w:bCs/>
          <w:rtl/>
        </w:rPr>
        <w:t xml:space="preserve"> (ס"ק י"ד)</w:t>
      </w:r>
    </w:p>
    <w:p w:rsidR="00752578" w:rsidRPr="00DA3A9B" w:rsidRDefault="00752578" w:rsidP="00190B5F">
      <w:pPr>
        <w:jc w:val="both"/>
        <w:rPr>
          <w:rFonts w:asciiTheme="majorBidi" w:hAnsiTheme="majorBidi" w:cstheme="majorBidi"/>
          <w:rtl/>
        </w:rPr>
      </w:pPr>
      <w:r w:rsidRPr="00DA3A9B">
        <w:rPr>
          <w:rFonts w:asciiTheme="majorBidi" w:hAnsiTheme="majorBidi" w:cstheme="majorBidi"/>
          <w:rtl/>
        </w:rPr>
        <w:t>הש"ך העמיד שבאותם מקרים שהרא"ה אסר (וסובר הש"ך שאף הרשב"א מודה לו</w:t>
      </w:r>
      <w:r w:rsidR="00115455" w:rsidRPr="00DA3A9B">
        <w:rPr>
          <w:rFonts w:asciiTheme="majorBidi" w:hAnsiTheme="majorBidi" w:cstheme="majorBidi"/>
          <w:rtl/>
        </w:rPr>
        <w:t>), הר"ן יתיר. ולכאורה ע</w:t>
      </w:r>
      <w:r w:rsidR="00C557FC" w:rsidRPr="00DA3A9B">
        <w:rPr>
          <w:rFonts w:asciiTheme="majorBidi" w:hAnsiTheme="majorBidi" w:cstheme="majorBidi"/>
          <w:rtl/>
        </w:rPr>
        <w:t xml:space="preserve">יקר המקור לומר כן היא מחמת הנימוק אשר נתן </w:t>
      </w:r>
      <w:r w:rsidR="00115455" w:rsidRPr="00DA3A9B">
        <w:rPr>
          <w:rFonts w:asciiTheme="majorBidi" w:hAnsiTheme="majorBidi" w:cstheme="majorBidi"/>
          <w:rtl/>
        </w:rPr>
        <w:t>הר"ן</w:t>
      </w:r>
      <w:r w:rsidR="00C557FC" w:rsidRPr="00DA3A9B">
        <w:rPr>
          <w:rFonts w:asciiTheme="majorBidi" w:hAnsiTheme="majorBidi" w:cstheme="majorBidi"/>
          <w:rtl/>
        </w:rPr>
        <w:t xml:space="preserve">  להיתר</w:t>
      </w:r>
      <w:r w:rsidR="00115455" w:rsidRPr="00DA3A9B">
        <w:rPr>
          <w:rFonts w:asciiTheme="majorBidi" w:hAnsiTheme="majorBidi" w:cstheme="majorBidi"/>
          <w:rtl/>
        </w:rPr>
        <w:t xml:space="preserve">,  שאין לדון כאן קביעות </w:t>
      </w:r>
      <w:r w:rsidRPr="00DA3A9B">
        <w:rPr>
          <w:rFonts w:asciiTheme="majorBidi" w:hAnsiTheme="majorBidi" w:cstheme="majorBidi"/>
          <w:rtl/>
        </w:rPr>
        <w:t>למפרע</w:t>
      </w:r>
      <w:r w:rsidR="00115455" w:rsidRPr="00DA3A9B">
        <w:rPr>
          <w:rFonts w:asciiTheme="majorBidi" w:hAnsiTheme="majorBidi" w:cstheme="majorBidi"/>
          <w:rtl/>
        </w:rPr>
        <w:t>,</w:t>
      </w:r>
      <w:r w:rsidRPr="00DA3A9B">
        <w:rPr>
          <w:rFonts w:asciiTheme="majorBidi" w:hAnsiTheme="majorBidi" w:cstheme="majorBidi"/>
          <w:rtl/>
        </w:rPr>
        <w:t xml:space="preserve"> מחמת החידוש שבקבוע, וזה שייך בכל מקרה.</w:t>
      </w:r>
    </w:p>
    <w:p w:rsidR="00752578" w:rsidRPr="00DA3A9B" w:rsidRDefault="00752578" w:rsidP="00190B5F">
      <w:pPr>
        <w:jc w:val="both"/>
        <w:rPr>
          <w:rFonts w:asciiTheme="majorBidi" w:hAnsiTheme="majorBidi" w:cstheme="majorBidi"/>
          <w:rtl/>
        </w:rPr>
      </w:pPr>
      <w:r w:rsidRPr="00DA3A9B">
        <w:rPr>
          <w:rFonts w:asciiTheme="majorBidi" w:hAnsiTheme="majorBidi" w:cstheme="majorBidi"/>
          <w:rtl/>
        </w:rPr>
        <w:t>ובדברי הש"ך ישנה מבוכה. דמתחילת דבריו נראה שנקט בדעת הרא"ה שבמקרה שלא ידועה החנות שמכרה בשר טריפה, הרי זה מותר. אך בסוף דבריו</w:t>
      </w:r>
      <w:r w:rsidR="00630AA5" w:rsidRPr="00DA3A9B">
        <w:rPr>
          <w:rFonts w:asciiTheme="majorBidi" w:hAnsiTheme="majorBidi" w:cstheme="majorBidi"/>
          <w:rtl/>
        </w:rPr>
        <w:t xml:space="preserve"> טוען שדברי הב"ח הרמ"א והדרישה בביאור דעת הטור, סותרים את דברי הרשב"א. כיון שהעמידו הם את דברי הטור במקרה שחנות מסויימת מכרה טריפה ואין ידוע איזו, ובכה"ג הרשב"א לא יתיר לקיחה קודם שנולד הספק, כך טוען הש"ך. והרי זה סותר לכאורה את המבואר בריש דבריו שאף בכה"ג יתירו הרא"ה והרשב"א.</w:t>
      </w:r>
    </w:p>
    <w:p w:rsidR="00630AA5" w:rsidRPr="00DA3A9B" w:rsidRDefault="00630AA5" w:rsidP="00190B5F">
      <w:pPr>
        <w:jc w:val="both"/>
        <w:rPr>
          <w:rFonts w:asciiTheme="majorBidi" w:hAnsiTheme="majorBidi" w:cstheme="majorBidi"/>
          <w:rtl/>
        </w:rPr>
      </w:pPr>
      <w:r w:rsidRPr="00DA3A9B">
        <w:rPr>
          <w:rFonts w:asciiTheme="majorBidi" w:hAnsiTheme="majorBidi" w:cstheme="majorBidi"/>
          <w:rtl/>
        </w:rPr>
        <w:t xml:space="preserve">ומצינו בביאור הדברים ג' מהלכים ברבותינו. א, הפמ"ג מכח סוף דברי הש"ך מכריח שגם תחילת דברי הש"ך לא באו להתיר את המקרה הנ"ל (ולא ביאר כיצד מתיישב בלשון הש"ך).  ב, החוו"ד מחדש שבמקרה שיש ספק גם איזו חנות מכרה וגם מסתפק הלוקח היכן קנה, הרי שווה דינו לאותו מקרה שנודעה החנות ומסתפק היכן קנה.  ודקדק הש"ך שלביאור האחרונים מתיר הטור אף בכה"ג, ומכח זה טען שאין זה כהרשב"א.  ג, היד יהודה ביאר בדעת הש"ך, </w:t>
      </w:r>
      <w:r w:rsidRPr="00DA3A9B">
        <w:rPr>
          <w:rFonts w:asciiTheme="majorBidi" w:hAnsiTheme="majorBidi" w:cstheme="majorBidi"/>
          <w:rtl/>
        </w:rPr>
        <w:lastRenderedPageBreak/>
        <w:t>שעיקר החילוק בין כל המקרים הנ"ל הוא, היכן יש קבוע דאורייתא, והיכן קבוע דרבנן. דרק בקבוע דרבנן נאמר ההיתר של לקח קודם שנולד הספק (וכן נראה שלמד הט"ז, וכן הפ</w:t>
      </w:r>
      <w:r w:rsidR="00BA253E">
        <w:rPr>
          <w:rFonts w:asciiTheme="majorBidi" w:hAnsiTheme="majorBidi" w:cstheme="majorBidi" w:hint="cs"/>
          <w:rtl/>
        </w:rPr>
        <w:t>ר"ח, וכן הפ</w:t>
      </w:r>
      <w:r w:rsidRPr="00DA3A9B">
        <w:rPr>
          <w:rFonts w:asciiTheme="majorBidi" w:hAnsiTheme="majorBidi" w:cstheme="majorBidi"/>
          <w:rtl/>
        </w:rPr>
        <w:t>מ"ג, ועוד אחרונים, וצ"ע</w:t>
      </w:r>
      <w:r w:rsidR="0033526C" w:rsidRPr="00DA3A9B">
        <w:rPr>
          <w:rFonts w:asciiTheme="majorBidi" w:hAnsiTheme="majorBidi" w:cstheme="majorBidi"/>
          <w:rtl/>
        </w:rPr>
        <w:t xml:space="preserve"> דלכאורה אין זה במשמעות לשון הרא"ה</w:t>
      </w:r>
      <w:r w:rsidRPr="00DA3A9B">
        <w:rPr>
          <w:rFonts w:asciiTheme="majorBidi" w:hAnsiTheme="majorBidi" w:cstheme="majorBidi"/>
          <w:rtl/>
        </w:rPr>
        <w:t>).  וכוונת הש"ך, שכיון שלביאור האחרונים סובר הטור שגם כאשר מסתפקים איזו חנות מכרה טריפה, הרי זה מוגדר קבוע דאורייתא (ועל כן סובר הטור שלא שייך ביטול), ואפ"ה מתיר הטור בלקיחה קודם שנולד הספק, הרי מוכח דלא כהרשב"א.</w:t>
      </w:r>
    </w:p>
    <w:p w:rsidR="0033526C" w:rsidRPr="00DA3A9B" w:rsidRDefault="00630AA5" w:rsidP="00190B5F">
      <w:pPr>
        <w:jc w:val="both"/>
        <w:rPr>
          <w:rFonts w:asciiTheme="majorBidi" w:hAnsiTheme="majorBidi" w:cstheme="majorBidi"/>
          <w:rtl/>
        </w:rPr>
      </w:pPr>
      <w:r w:rsidRPr="00DA3A9B">
        <w:rPr>
          <w:rFonts w:asciiTheme="majorBidi" w:hAnsiTheme="majorBidi" w:cstheme="majorBidi"/>
          <w:rtl/>
        </w:rPr>
        <w:t xml:space="preserve">[ועוד יש לבאר </w:t>
      </w:r>
      <w:r w:rsidR="00C04C75" w:rsidRPr="00DA3A9B">
        <w:rPr>
          <w:rFonts w:asciiTheme="majorBidi" w:hAnsiTheme="majorBidi" w:cstheme="majorBidi"/>
          <w:rtl/>
        </w:rPr>
        <w:t xml:space="preserve">בדרך אחרת, </w:t>
      </w:r>
      <w:r w:rsidRPr="00DA3A9B">
        <w:rPr>
          <w:rFonts w:asciiTheme="majorBidi" w:hAnsiTheme="majorBidi" w:cstheme="majorBidi"/>
          <w:rtl/>
        </w:rPr>
        <w:t>שהש"ך סבר ש</w:t>
      </w:r>
      <w:r w:rsidR="00C04C75" w:rsidRPr="00DA3A9B">
        <w:rPr>
          <w:rFonts w:asciiTheme="majorBidi" w:hAnsiTheme="majorBidi" w:cstheme="majorBidi"/>
          <w:rtl/>
        </w:rPr>
        <w:t xml:space="preserve">כל </w:t>
      </w:r>
      <w:r w:rsidRPr="00DA3A9B">
        <w:rPr>
          <w:rFonts w:asciiTheme="majorBidi" w:hAnsiTheme="majorBidi" w:cstheme="majorBidi"/>
          <w:rtl/>
        </w:rPr>
        <w:t>ההיתר במקרה הנ"ל של חנות שאינה ידועה, הוא רק אם נגדיר שבכה"ג הספק הוא על הבשר</w:t>
      </w:r>
      <w:r w:rsidR="0033526C" w:rsidRPr="00DA3A9B">
        <w:rPr>
          <w:rFonts w:asciiTheme="majorBidi" w:hAnsiTheme="majorBidi" w:cstheme="majorBidi"/>
          <w:rtl/>
        </w:rPr>
        <w:t>, אשר נחשב שיש כאן חתיכות בשר אסורות מעורבות במותרות. אבל אם נגדיר שיש כאן 'חנות' אסורה המעורבת בחנויות מותרות</w:t>
      </w:r>
      <w:r w:rsidRPr="00DA3A9B">
        <w:rPr>
          <w:rFonts w:asciiTheme="majorBidi" w:hAnsiTheme="majorBidi" w:cstheme="majorBidi"/>
          <w:rtl/>
        </w:rPr>
        <w:t>, הרי זה מוגדר ספק של קבוע</w:t>
      </w:r>
      <w:r w:rsidR="00C04C75" w:rsidRPr="00DA3A9B">
        <w:rPr>
          <w:rFonts w:asciiTheme="majorBidi" w:hAnsiTheme="majorBidi" w:cstheme="majorBidi"/>
          <w:rtl/>
        </w:rPr>
        <w:t xml:space="preserve"> (שהרי הגדיר הרא"ה שכל שהספק הוא מחמת 'ברירת החנויות' הרי זה מוגדר קבוע)</w:t>
      </w:r>
      <w:r w:rsidRPr="00DA3A9B">
        <w:rPr>
          <w:rFonts w:asciiTheme="majorBidi" w:hAnsiTheme="majorBidi" w:cstheme="majorBidi"/>
          <w:rtl/>
        </w:rPr>
        <w:t>. ו</w:t>
      </w:r>
      <w:r w:rsidR="00C04C75" w:rsidRPr="00DA3A9B">
        <w:rPr>
          <w:rFonts w:asciiTheme="majorBidi" w:hAnsiTheme="majorBidi" w:cstheme="majorBidi"/>
          <w:rtl/>
        </w:rPr>
        <w:t xml:space="preserve">הרי </w:t>
      </w:r>
      <w:r w:rsidRPr="00DA3A9B">
        <w:rPr>
          <w:rFonts w:asciiTheme="majorBidi" w:hAnsiTheme="majorBidi" w:cstheme="majorBidi"/>
          <w:rtl/>
        </w:rPr>
        <w:t>מדברי הטור לביאור האחרונים</w:t>
      </w:r>
      <w:r w:rsidR="00C04C75" w:rsidRPr="00DA3A9B">
        <w:rPr>
          <w:rFonts w:asciiTheme="majorBidi" w:hAnsiTheme="majorBidi" w:cstheme="majorBidi"/>
          <w:rtl/>
        </w:rPr>
        <w:t>,</w:t>
      </w:r>
      <w:r w:rsidRPr="00DA3A9B">
        <w:rPr>
          <w:rFonts w:asciiTheme="majorBidi" w:hAnsiTheme="majorBidi" w:cstheme="majorBidi"/>
          <w:rtl/>
        </w:rPr>
        <w:t xml:space="preserve"> עולה שסובר הטור שבכה"ג </w:t>
      </w:r>
      <w:r w:rsidR="00C04C75" w:rsidRPr="00DA3A9B">
        <w:rPr>
          <w:rFonts w:asciiTheme="majorBidi" w:hAnsiTheme="majorBidi" w:cstheme="majorBidi"/>
          <w:rtl/>
        </w:rPr>
        <w:t xml:space="preserve">– שלא ידוע איזו חנות מכרה טריפה – </w:t>
      </w:r>
      <w:r w:rsidRPr="00DA3A9B">
        <w:rPr>
          <w:rFonts w:asciiTheme="majorBidi" w:hAnsiTheme="majorBidi" w:cstheme="majorBidi"/>
          <w:rtl/>
        </w:rPr>
        <w:t xml:space="preserve">מוגדר שהספק על החנות, וע"כ </w:t>
      </w:r>
      <w:r w:rsidR="00C04C75" w:rsidRPr="00DA3A9B">
        <w:rPr>
          <w:rFonts w:asciiTheme="majorBidi" w:hAnsiTheme="majorBidi" w:cstheme="majorBidi"/>
          <w:rtl/>
        </w:rPr>
        <w:t>סובר הטור שאין ביטול ברוב</w:t>
      </w:r>
      <w:r w:rsidR="00491C7A">
        <w:rPr>
          <w:rStyle w:val="a7"/>
          <w:rFonts w:asciiTheme="majorBidi" w:hAnsiTheme="majorBidi" w:cstheme="majorBidi"/>
          <w:rtl/>
        </w:rPr>
        <w:footnoteReference w:id="4"/>
      </w:r>
      <w:r w:rsidR="00C04C75" w:rsidRPr="00DA3A9B">
        <w:rPr>
          <w:rFonts w:asciiTheme="majorBidi" w:hAnsiTheme="majorBidi" w:cstheme="majorBidi"/>
          <w:rtl/>
        </w:rPr>
        <w:t>.  וכיון שכך,</w:t>
      </w:r>
      <w:r w:rsidRPr="00DA3A9B">
        <w:rPr>
          <w:rFonts w:asciiTheme="majorBidi" w:hAnsiTheme="majorBidi" w:cstheme="majorBidi"/>
          <w:rtl/>
        </w:rPr>
        <w:t xml:space="preserve"> מוכח </w:t>
      </w:r>
      <w:r w:rsidR="00C04C75" w:rsidRPr="00DA3A9B">
        <w:rPr>
          <w:rFonts w:asciiTheme="majorBidi" w:hAnsiTheme="majorBidi" w:cstheme="majorBidi"/>
          <w:rtl/>
        </w:rPr>
        <w:t xml:space="preserve">בטור </w:t>
      </w:r>
      <w:r w:rsidRPr="00DA3A9B">
        <w:rPr>
          <w:rFonts w:asciiTheme="majorBidi" w:hAnsiTheme="majorBidi" w:cstheme="majorBidi"/>
          <w:rtl/>
        </w:rPr>
        <w:t>דלא כסברת הר</w:t>
      </w:r>
      <w:r w:rsidR="00C04C75" w:rsidRPr="00DA3A9B">
        <w:rPr>
          <w:rFonts w:asciiTheme="majorBidi" w:hAnsiTheme="majorBidi" w:cstheme="majorBidi"/>
          <w:rtl/>
        </w:rPr>
        <w:t>א"ה והר</w:t>
      </w:r>
      <w:r w:rsidRPr="00DA3A9B">
        <w:rPr>
          <w:rFonts w:asciiTheme="majorBidi" w:hAnsiTheme="majorBidi" w:cstheme="majorBidi"/>
          <w:rtl/>
        </w:rPr>
        <w:t>שב"א, דה</w:t>
      </w:r>
      <w:r w:rsidR="00491C7A">
        <w:rPr>
          <w:rFonts w:asciiTheme="majorBidi" w:hAnsiTheme="majorBidi" w:cstheme="majorBidi" w:hint="cs"/>
          <w:rtl/>
        </w:rPr>
        <w:t>ו</w:t>
      </w:r>
      <w:r w:rsidRPr="00DA3A9B">
        <w:rPr>
          <w:rFonts w:asciiTheme="majorBidi" w:hAnsiTheme="majorBidi" w:cstheme="majorBidi"/>
          <w:rtl/>
        </w:rPr>
        <w:t>א בלקיחה לפני שנולד הספק, מתיר הטור</w:t>
      </w:r>
      <w:r w:rsidR="00C04C75" w:rsidRPr="00DA3A9B">
        <w:rPr>
          <w:rFonts w:asciiTheme="majorBidi" w:hAnsiTheme="majorBidi" w:cstheme="majorBidi"/>
          <w:rtl/>
        </w:rPr>
        <w:t xml:space="preserve"> אף שסובר שהספק הוא מצד ברירת החנויות</w:t>
      </w:r>
      <w:r w:rsidRPr="00DA3A9B">
        <w:rPr>
          <w:rFonts w:asciiTheme="majorBidi" w:hAnsiTheme="majorBidi" w:cstheme="majorBidi"/>
          <w:rtl/>
        </w:rPr>
        <w:t>.]</w:t>
      </w:r>
    </w:p>
    <w:p w:rsidR="0033526C" w:rsidRPr="00DA3A9B" w:rsidRDefault="0033526C" w:rsidP="00190B5F">
      <w:pPr>
        <w:jc w:val="both"/>
        <w:rPr>
          <w:rFonts w:asciiTheme="majorBidi" w:hAnsiTheme="majorBidi" w:cstheme="majorBidi"/>
          <w:rtl/>
        </w:rPr>
      </w:pPr>
    </w:p>
    <w:p w:rsidR="00190B5F" w:rsidRDefault="006E574A" w:rsidP="00190B5F">
      <w:pPr>
        <w:jc w:val="center"/>
        <w:rPr>
          <w:rFonts w:asciiTheme="majorBidi" w:hAnsiTheme="majorBidi" w:cstheme="majorBidi"/>
          <w:b/>
          <w:bCs/>
          <w:sz w:val="28"/>
          <w:szCs w:val="28"/>
          <w:rtl/>
        </w:rPr>
      </w:pPr>
      <w:r w:rsidRPr="00190B5F">
        <w:rPr>
          <w:rFonts w:asciiTheme="majorBidi" w:hAnsiTheme="majorBidi" w:cstheme="majorBidi"/>
          <w:b/>
          <w:bCs/>
          <w:sz w:val="28"/>
          <w:szCs w:val="28"/>
          <w:rtl/>
        </w:rPr>
        <w:t>ב, הכרעות סותרות</w:t>
      </w:r>
    </w:p>
    <w:p w:rsidR="00190B5F" w:rsidRPr="00190B5F" w:rsidRDefault="00190B5F" w:rsidP="00190B5F">
      <w:pPr>
        <w:rPr>
          <w:rFonts w:asciiTheme="majorBidi" w:hAnsiTheme="majorBidi" w:cstheme="majorBidi"/>
          <w:b/>
          <w:bCs/>
          <w:rtl/>
        </w:rPr>
      </w:pPr>
      <w:r>
        <w:rPr>
          <w:rFonts w:asciiTheme="majorBidi" w:hAnsiTheme="majorBidi" w:cstheme="majorBidi" w:hint="cs"/>
          <w:b/>
          <w:bCs/>
          <w:rtl/>
        </w:rPr>
        <w:t>מעשה דוילנא (משב"ז ה' ופת"ש ד')</w:t>
      </w:r>
    </w:p>
    <w:p w:rsidR="00190B5F" w:rsidRDefault="00DD1845" w:rsidP="00DD1845">
      <w:pPr>
        <w:jc w:val="both"/>
        <w:rPr>
          <w:rFonts w:asciiTheme="majorBidi" w:hAnsiTheme="majorBidi" w:cstheme="majorBidi"/>
          <w:rtl/>
        </w:rPr>
      </w:pPr>
      <w:r>
        <w:rPr>
          <w:rFonts w:asciiTheme="majorBidi" w:hAnsiTheme="majorBidi" w:cstheme="majorBidi" w:hint="cs"/>
          <w:rtl/>
        </w:rPr>
        <w:t xml:space="preserve">דנו </w:t>
      </w:r>
      <w:r w:rsidR="006E574A" w:rsidRPr="00DA3A9B">
        <w:rPr>
          <w:rFonts w:asciiTheme="majorBidi" w:hAnsiTheme="majorBidi" w:cstheme="majorBidi"/>
          <w:rtl/>
        </w:rPr>
        <w:t xml:space="preserve">הפוסקים </w:t>
      </w:r>
      <w:r>
        <w:rPr>
          <w:rFonts w:asciiTheme="majorBidi" w:hAnsiTheme="majorBidi" w:cstheme="majorBidi" w:hint="cs"/>
          <w:rtl/>
        </w:rPr>
        <w:t xml:space="preserve">מה יהיה הדין </w:t>
      </w:r>
      <w:r w:rsidR="006E574A" w:rsidRPr="00DA3A9B">
        <w:rPr>
          <w:rFonts w:asciiTheme="majorBidi" w:hAnsiTheme="majorBidi" w:cstheme="majorBidi"/>
          <w:rtl/>
        </w:rPr>
        <w:t>כאשר חלק מהבהמה כבר פרש לפני לידת הספק וחלק עדיין קבוע. והאריכו בזה, ועולה שישנם ג' צדדים: א, כיון שא"א להתיר את הקבוע, גם הפרוש לא יותר.</w:t>
      </w:r>
      <w:r>
        <w:rPr>
          <w:rFonts w:asciiTheme="majorBidi" w:hAnsiTheme="majorBidi" w:cstheme="majorBidi"/>
          <w:rtl/>
        </w:rPr>
        <w:t xml:space="preserve"> ב, כיון ש</w:t>
      </w:r>
      <w:r>
        <w:rPr>
          <w:rFonts w:asciiTheme="majorBidi" w:hAnsiTheme="majorBidi" w:cstheme="majorBidi" w:hint="cs"/>
          <w:rtl/>
        </w:rPr>
        <w:t>כלפי הפרוש</w:t>
      </w:r>
      <w:r w:rsidR="006E574A" w:rsidRPr="00DA3A9B">
        <w:rPr>
          <w:rFonts w:asciiTheme="majorBidi" w:hAnsiTheme="majorBidi" w:cstheme="majorBidi"/>
          <w:rtl/>
        </w:rPr>
        <w:t xml:space="preserve"> יש</w:t>
      </w:r>
      <w:r>
        <w:rPr>
          <w:rFonts w:asciiTheme="majorBidi" w:hAnsiTheme="majorBidi" w:cstheme="majorBidi" w:hint="cs"/>
          <w:rtl/>
        </w:rPr>
        <w:t>נה הכרעה של רוב</w:t>
      </w:r>
      <w:r>
        <w:rPr>
          <w:rFonts w:asciiTheme="majorBidi" w:hAnsiTheme="majorBidi" w:cstheme="majorBidi"/>
          <w:rtl/>
        </w:rPr>
        <w:t xml:space="preserve">, הרי זה </w:t>
      </w:r>
      <w:r>
        <w:rPr>
          <w:rFonts w:asciiTheme="majorBidi" w:hAnsiTheme="majorBidi" w:cstheme="majorBidi" w:hint="cs"/>
          <w:rtl/>
        </w:rPr>
        <w:t>יתיר</w:t>
      </w:r>
      <w:r>
        <w:rPr>
          <w:rFonts w:asciiTheme="majorBidi" w:hAnsiTheme="majorBidi" w:cstheme="majorBidi"/>
          <w:rtl/>
        </w:rPr>
        <w:t xml:space="preserve"> גם </w:t>
      </w:r>
      <w:r w:rsidR="006E574A" w:rsidRPr="00DA3A9B">
        <w:rPr>
          <w:rFonts w:asciiTheme="majorBidi" w:hAnsiTheme="majorBidi" w:cstheme="majorBidi"/>
          <w:rtl/>
        </w:rPr>
        <w:t xml:space="preserve"> </w:t>
      </w:r>
      <w:r>
        <w:rPr>
          <w:rFonts w:asciiTheme="majorBidi" w:hAnsiTheme="majorBidi" w:cstheme="majorBidi" w:hint="cs"/>
          <w:rtl/>
        </w:rPr>
        <w:t xml:space="preserve">החלק </w:t>
      </w:r>
      <w:r w:rsidR="006E574A" w:rsidRPr="00DA3A9B">
        <w:rPr>
          <w:rFonts w:asciiTheme="majorBidi" w:hAnsiTheme="majorBidi" w:cstheme="majorBidi"/>
          <w:rtl/>
        </w:rPr>
        <w:t xml:space="preserve">הקבוע (שהרי </w:t>
      </w:r>
      <w:r>
        <w:rPr>
          <w:rFonts w:asciiTheme="majorBidi" w:hAnsiTheme="majorBidi" w:cstheme="majorBidi" w:hint="cs"/>
          <w:rtl/>
        </w:rPr>
        <w:t xml:space="preserve">אין על </w:t>
      </w:r>
      <w:r w:rsidR="006E574A" w:rsidRPr="00DA3A9B">
        <w:rPr>
          <w:rFonts w:asciiTheme="majorBidi" w:hAnsiTheme="majorBidi" w:cstheme="majorBidi"/>
          <w:rtl/>
        </w:rPr>
        <w:t xml:space="preserve">הקבוע </w:t>
      </w:r>
      <w:r>
        <w:rPr>
          <w:rFonts w:asciiTheme="majorBidi" w:hAnsiTheme="majorBidi" w:cstheme="majorBidi" w:hint="cs"/>
          <w:rtl/>
        </w:rPr>
        <w:t xml:space="preserve">הכרעה לאיסור, אלא רק שא"א להכריע עליו להיתר, מחמת שמוגדר </w:t>
      </w:r>
      <w:r w:rsidR="006E574A" w:rsidRPr="00DA3A9B">
        <w:rPr>
          <w:rFonts w:asciiTheme="majorBidi" w:hAnsiTheme="majorBidi" w:cstheme="majorBidi"/>
          <w:rtl/>
        </w:rPr>
        <w:t xml:space="preserve">מחצה על מחצה). ג, </w:t>
      </w:r>
      <w:r>
        <w:rPr>
          <w:rFonts w:asciiTheme="majorBidi" w:hAnsiTheme="majorBidi" w:cstheme="majorBidi"/>
          <w:rtl/>
        </w:rPr>
        <w:t xml:space="preserve">אין שייכות בין </w:t>
      </w:r>
      <w:r>
        <w:rPr>
          <w:rFonts w:asciiTheme="majorBidi" w:hAnsiTheme="majorBidi" w:cstheme="majorBidi" w:hint="cs"/>
          <w:rtl/>
        </w:rPr>
        <w:t>חלק לחלק</w:t>
      </w:r>
      <w:r w:rsidR="00C5150C" w:rsidRPr="00DA3A9B">
        <w:rPr>
          <w:rFonts w:asciiTheme="majorBidi" w:hAnsiTheme="majorBidi" w:cstheme="majorBidi"/>
          <w:rtl/>
        </w:rPr>
        <w:t>, ה</w:t>
      </w:r>
      <w:r>
        <w:rPr>
          <w:rFonts w:asciiTheme="majorBidi" w:hAnsiTheme="majorBidi" w:cstheme="majorBidi" w:hint="cs"/>
          <w:rtl/>
        </w:rPr>
        <w:t>חלק ה</w:t>
      </w:r>
      <w:r w:rsidR="00C5150C" w:rsidRPr="00DA3A9B">
        <w:rPr>
          <w:rFonts w:asciiTheme="majorBidi" w:hAnsiTheme="majorBidi" w:cstheme="majorBidi"/>
          <w:rtl/>
        </w:rPr>
        <w:t>פרוש יותר כיון שעליו אפשר לומר הלך אחר הרוב, ואילו ה</w:t>
      </w:r>
      <w:r>
        <w:rPr>
          <w:rFonts w:asciiTheme="majorBidi" w:hAnsiTheme="majorBidi" w:cstheme="majorBidi" w:hint="cs"/>
          <w:rtl/>
        </w:rPr>
        <w:t>חלק ה</w:t>
      </w:r>
      <w:r w:rsidR="00C5150C" w:rsidRPr="00DA3A9B">
        <w:rPr>
          <w:rFonts w:asciiTheme="majorBidi" w:hAnsiTheme="majorBidi" w:cstheme="majorBidi"/>
          <w:rtl/>
        </w:rPr>
        <w:t>קבוע יהיה אסור [וכן הוכיח הפמ"ג מהנקודה"כ, וכן נקט הפר"ח וכן</w:t>
      </w:r>
      <w:r w:rsidR="00DA3A9B" w:rsidRPr="00DA3A9B">
        <w:rPr>
          <w:rFonts w:asciiTheme="majorBidi" w:hAnsiTheme="majorBidi" w:cstheme="majorBidi"/>
          <w:rtl/>
        </w:rPr>
        <w:t xml:space="preserve"> ה</w:t>
      </w:r>
      <w:r w:rsidR="00C5150C" w:rsidRPr="00DA3A9B">
        <w:rPr>
          <w:rFonts w:asciiTheme="majorBidi" w:hAnsiTheme="majorBidi" w:cstheme="majorBidi"/>
          <w:rtl/>
        </w:rPr>
        <w:t>שער"י וחזו"א]. (ואף שמצאנו בשני שבילים שכאשר באו להישאל בבת אחת</w:t>
      </w:r>
      <w:r w:rsidR="00DA3A9B" w:rsidRPr="00DA3A9B">
        <w:rPr>
          <w:rFonts w:asciiTheme="majorBidi" w:hAnsiTheme="majorBidi" w:cstheme="majorBidi"/>
          <w:rtl/>
        </w:rPr>
        <w:t xml:space="preserve">, אמרינן שא"א להתיר שניהם דיש כאן סתירה ממ"נ, שם הסתירה </w:t>
      </w:r>
      <w:r>
        <w:rPr>
          <w:rFonts w:asciiTheme="majorBidi" w:hAnsiTheme="majorBidi" w:cstheme="majorBidi" w:hint="cs"/>
          <w:rtl/>
        </w:rPr>
        <w:t>מחמת ש</w:t>
      </w:r>
      <w:r w:rsidR="00DA3A9B" w:rsidRPr="00DA3A9B">
        <w:rPr>
          <w:rFonts w:asciiTheme="majorBidi" w:hAnsiTheme="majorBidi" w:cstheme="majorBidi"/>
          <w:rtl/>
        </w:rPr>
        <w:t xml:space="preserve">א"א להתיר שני דברים אשר בהכרח אחד מהם אסור. משא"כ כאן, על </w:t>
      </w:r>
      <w:r w:rsidR="00DA3A9B" w:rsidRPr="00DA3A9B">
        <w:rPr>
          <w:rFonts w:asciiTheme="majorBidi" w:hAnsiTheme="majorBidi" w:cstheme="majorBidi"/>
          <w:rtl/>
        </w:rPr>
        <w:lastRenderedPageBreak/>
        <w:t>חלק נכריע להיתר ועל חלק נאסור מספק</w:t>
      </w:r>
      <w:r w:rsidR="00C43EC1">
        <w:rPr>
          <w:rFonts w:asciiTheme="majorBidi" w:hAnsiTheme="majorBidi" w:cstheme="majorBidi" w:hint="cs"/>
          <w:rtl/>
        </w:rPr>
        <w:t>, ואין כאן מצב שממ"נ עושים</w:t>
      </w:r>
      <w:r>
        <w:rPr>
          <w:rFonts w:asciiTheme="majorBidi" w:hAnsiTheme="majorBidi" w:cstheme="majorBidi" w:hint="cs"/>
          <w:rtl/>
        </w:rPr>
        <w:t xml:space="preserve"> דבר שלא כדין</w:t>
      </w:r>
      <w:r w:rsidR="00DA3A9B" w:rsidRPr="00DA3A9B">
        <w:rPr>
          <w:rFonts w:asciiTheme="majorBidi" w:hAnsiTheme="majorBidi" w:cstheme="majorBidi"/>
          <w:rtl/>
        </w:rPr>
        <w:t>.)</w:t>
      </w:r>
      <w:r w:rsidR="00C5150C" w:rsidRPr="00DA3A9B">
        <w:rPr>
          <w:rFonts w:asciiTheme="majorBidi" w:hAnsiTheme="majorBidi" w:cstheme="majorBidi"/>
          <w:rtl/>
        </w:rPr>
        <w:t xml:space="preserve"> </w:t>
      </w:r>
      <w:r w:rsidR="006E574A" w:rsidRPr="00DA3A9B">
        <w:rPr>
          <w:rFonts w:asciiTheme="majorBidi" w:hAnsiTheme="majorBidi" w:cstheme="majorBidi"/>
          <w:rtl/>
        </w:rPr>
        <w:t xml:space="preserve">  </w:t>
      </w:r>
    </w:p>
    <w:p w:rsidR="00190B5F" w:rsidRDefault="00190B5F" w:rsidP="00190B5F">
      <w:pPr>
        <w:jc w:val="both"/>
        <w:rPr>
          <w:rFonts w:asciiTheme="majorBidi" w:hAnsiTheme="majorBidi" w:cstheme="majorBidi"/>
          <w:rtl/>
        </w:rPr>
      </w:pPr>
    </w:p>
    <w:p w:rsidR="00190B5F" w:rsidRPr="00190B5F" w:rsidRDefault="00190B5F" w:rsidP="00190B5F">
      <w:pPr>
        <w:jc w:val="both"/>
        <w:rPr>
          <w:rFonts w:asciiTheme="majorBidi" w:hAnsiTheme="majorBidi" w:cstheme="majorBidi"/>
          <w:b/>
          <w:bCs/>
          <w:rtl/>
        </w:rPr>
      </w:pPr>
      <w:r>
        <w:rPr>
          <w:rFonts w:asciiTheme="majorBidi" w:hAnsiTheme="majorBidi" w:cstheme="majorBidi" w:hint="cs"/>
          <w:b/>
          <w:bCs/>
          <w:rtl/>
        </w:rPr>
        <w:t>דברי הט"ז (סק"ה)</w:t>
      </w:r>
    </w:p>
    <w:p w:rsidR="00DD1845" w:rsidRDefault="00DD1845" w:rsidP="00DD1845">
      <w:pPr>
        <w:jc w:val="both"/>
        <w:rPr>
          <w:rFonts w:asciiTheme="majorBidi" w:hAnsiTheme="majorBidi" w:cstheme="majorBidi"/>
          <w:rtl/>
        </w:rPr>
      </w:pPr>
      <w:r>
        <w:rPr>
          <w:rFonts w:asciiTheme="majorBidi" w:hAnsiTheme="majorBidi" w:cstheme="majorBidi"/>
          <w:rtl/>
        </w:rPr>
        <w:t>חיד</w:t>
      </w:r>
      <w:r w:rsidR="006E574A" w:rsidRPr="00DA3A9B">
        <w:rPr>
          <w:rFonts w:asciiTheme="majorBidi" w:hAnsiTheme="majorBidi" w:cstheme="majorBidi"/>
          <w:rtl/>
        </w:rPr>
        <w:t>ש הט"ז, שבעיית הסתירה קיימת גם ב</w:t>
      </w:r>
      <w:r>
        <w:rPr>
          <w:rFonts w:asciiTheme="majorBidi" w:hAnsiTheme="majorBidi" w:cstheme="majorBidi"/>
          <w:rtl/>
        </w:rPr>
        <w:t xml:space="preserve">ביטול ברוב, ועל כן </w:t>
      </w:r>
      <w:r>
        <w:rPr>
          <w:rFonts w:asciiTheme="majorBidi" w:hAnsiTheme="majorBidi" w:cstheme="majorBidi" w:hint="cs"/>
          <w:rtl/>
        </w:rPr>
        <w:t>כאשר התערבו חתיכות של בהמה אסורה בחתיכות של בהמות מותרות. לא נוכל להתיר את החתיכות שאינן ראויות להתכבד מדין ביטול ב</w:t>
      </w:r>
      <w:r w:rsidR="00310B81">
        <w:rPr>
          <w:rFonts w:asciiTheme="majorBidi" w:hAnsiTheme="majorBidi" w:cstheme="majorBidi" w:hint="cs"/>
          <w:rtl/>
        </w:rPr>
        <w:t xml:space="preserve">רוב, משום שחלקים מאותה בהמה הרי הם </w:t>
      </w:r>
      <w:r>
        <w:rPr>
          <w:rFonts w:asciiTheme="majorBidi" w:hAnsiTheme="majorBidi" w:cstheme="majorBidi" w:hint="cs"/>
          <w:rtl/>
        </w:rPr>
        <w:t xml:space="preserve"> ראויים להתכבד, והם לא יותרו, ויש כאן סתירה ממ"נ.</w:t>
      </w:r>
      <w:r w:rsidR="00C5150C" w:rsidRPr="00DA3A9B">
        <w:rPr>
          <w:rFonts w:asciiTheme="majorBidi" w:hAnsiTheme="majorBidi" w:cstheme="majorBidi"/>
          <w:rtl/>
        </w:rPr>
        <w:t xml:space="preserve"> ובנקודה"כ מבואר שקישר את נידון הט"ז לנידון הנ"ל של סתירה בהכרעת הלך אחר הרוב</w:t>
      </w:r>
      <w:r>
        <w:rPr>
          <w:rFonts w:asciiTheme="majorBidi" w:hAnsiTheme="majorBidi" w:cstheme="majorBidi"/>
          <w:rtl/>
        </w:rPr>
        <w:t xml:space="preserve"> [ו</w:t>
      </w:r>
      <w:r>
        <w:rPr>
          <w:rFonts w:asciiTheme="majorBidi" w:hAnsiTheme="majorBidi" w:cstheme="majorBidi" w:hint="cs"/>
          <w:rtl/>
        </w:rPr>
        <w:t>סובר הש"ך</w:t>
      </w:r>
      <w:r>
        <w:rPr>
          <w:rFonts w:asciiTheme="majorBidi" w:hAnsiTheme="majorBidi" w:cstheme="majorBidi"/>
          <w:rtl/>
        </w:rPr>
        <w:t xml:space="preserve"> שבשני</w:t>
      </w:r>
      <w:r>
        <w:rPr>
          <w:rFonts w:asciiTheme="majorBidi" w:hAnsiTheme="majorBidi" w:cstheme="majorBidi" w:hint="cs"/>
          <w:rtl/>
        </w:rPr>
        <w:t xml:space="preserve"> הנידונים</w:t>
      </w:r>
      <w:r>
        <w:rPr>
          <w:rFonts w:asciiTheme="majorBidi" w:hAnsiTheme="majorBidi" w:cstheme="majorBidi"/>
          <w:rtl/>
        </w:rPr>
        <w:t xml:space="preserve"> אין </w:t>
      </w:r>
      <w:r>
        <w:rPr>
          <w:rFonts w:asciiTheme="majorBidi" w:hAnsiTheme="majorBidi" w:cstheme="majorBidi" w:hint="cs"/>
          <w:rtl/>
        </w:rPr>
        <w:t>בעיה להכריע על כל חלק כלפי דינו</w:t>
      </w:r>
      <w:r w:rsidR="00DA3A9B" w:rsidRPr="00DA3A9B">
        <w:rPr>
          <w:rFonts w:asciiTheme="majorBidi" w:hAnsiTheme="majorBidi" w:cstheme="majorBidi"/>
          <w:rtl/>
        </w:rPr>
        <w:t>]</w:t>
      </w:r>
      <w:r w:rsidR="00C5150C" w:rsidRPr="00DA3A9B">
        <w:rPr>
          <w:rFonts w:asciiTheme="majorBidi" w:hAnsiTheme="majorBidi" w:cstheme="majorBidi"/>
          <w:rtl/>
        </w:rPr>
        <w:t xml:space="preserve">. </w:t>
      </w:r>
    </w:p>
    <w:p w:rsidR="006E574A" w:rsidRPr="00DA3A9B" w:rsidRDefault="00C5150C" w:rsidP="00DD1845">
      <w:pPr>
        <w:jc w:val="both"/>
        <w:rPr>
          <w:rFonts w:asciiTheme="majorBidi" w:hAnsiTheme="majorBidi" w:cstheme="majorBidi"/>
          <w:rtl/>
        </w:rPr>
      </w:pPr>
      <w:r w:rsidRPr="00DA3A9B">
        <w:rPr>
          <w:rFonts w:asciiTheme="majorBidi" w:hAnsiTheme="majorBidi" w:cstheme="majorBidi"/>
          <w:rtl/>
        </w:rPr>
        <w:t>אמנם דברי הט"ז לכאורה תמוהים טובא, דבשלמא בהלך אחר הרוב, שצורת הדין היא תליה שדבר זה הוא היתר, ממילא שייך לדון סתירה בהכרעה על אותה בהמה.</w:t>
      </w:r>
      <w:r w:rsidR="00DA3A9B" w:rsidRPr="00DA3A9B">
        <w:rPr>
          <w:rFonts w:asciiTheme="majorBidi" w:hAnsiTheme="majorBidi" w:cstheme="majorBidi"/>
          <w:rtl/>
        </w:rPr>
        <w:t xml:space="preserve"> אך ביטול ברוב הלא </w:t>
      </w:r>
      <w:r w:rsidR="00DD1845">
        <w:rPr>
          <w:rFonts w:asciiTheme="majorBidi" w:hAnsiTheme="majorBidi" w:cstheme="majorBidi" w:hint="cs"/>
          <w:rtl/>
        </w:rPr>
        <w:t xml:space="preserve">הגדרתו </w:t>
      </w:r>
      <w:r w:rsidR="00DA3A9B" w:rsidRPr="00DA3A9B">
        <w:rPr>
          <w:rFonts w:asciiTheme="majorBidi" w:hAnsiTheme="majorBidi" w:cstheme="majorBidi"/>
          <w:rtl/>
        </w:rPr>
        <w:t>איסור נהפך להיתר (</w:t>
      </w:r>
      <w:r w:rsidR="00DD1845">
        <w:rPr>
          <w:rFonts w:asciiTheme="majorBidi" w:hAnsiTheme="majorBidi" w:cstheme="majorBidi" w:hint="cs"/>
          <w:rtl/>
        </w:rPr>
        <w:t xml:space="preserve">כדברי הרא"ש, </w:t>
      </w:r>
      <w:r w:rsidR="00DA3A9B" w:rsidRPr="00DA3A9B">
        <w:rPr>
          <w:rFonts w:asciiTheme="majorBidi" w:hAnsiTheme="majorBidi" w:cstheme="majorBidi"/>
          <w:rtl/>
        </w:rPr>
        <w:t>והוסיף הר"ח מלכה שליט"א שהרי הט"ז או</w:t>
      </w:r>
      <w:r w:rsidR="00DD1845">
        <w:rPr>
          <w:rFonts w:asciiTheme="majorBidi" w:hAnsiTheme="majorBidi" w:cstheme="majorBidi"/>
          <w:rtl/>
        </w:rPr>
        <w:t xml:space="preserve">מר דבריו להדיא אף בדעת הרא"ש </w:t>
      </w:r>
      <w:r w:rsidR="00DD1845">
        <w:rPr>
          <w:rFonts w:asciiTheme="majorBidi" w:hAnsiTheme="majorBidi" w:cstheme="majorBidi" w:hint="cs"/>
          <w:rtl/>
        </w:rPr>
        <w:t>עצמו</w:t>
      </w:r>
      <w:r w:rsidR="00DA3A9B" w:rsidRPr="00DA3A9B">
        <w:rPr>
          <w:rFonts w:asciiTheme="majorBidi" w:hAnsiTheme="majorBidi" w:cstheme="majorBidi"/>
          <w:rtl/>
        </w:rPr>
        <w:t xml:space="preserve">), ומדוע לא ייתכן שהחלק שראוי לביטול יתבטל, אף שהחלק שאינו ראוי לביטול ישאר באיסורו. וכן </w:t>
      </w:r>
      <w:r w:rsidR="00DD1845">
        <w:rPr>
          <w:rFonts w:asciiTheme="majorBidi" w:hAnsiTheme="majorBidi" w:cstheme="majorBidi"/>
          <w:rtl/>
        </w:rPr>
        <w:t>הקשה הגליון מהרש"א. [</w:t>
      </w:r>
      <w:r w:rsidR="00DD1845">
        <w:rPr>
          <w:rFonts w:asciiTheme="majorBidi" w:hAnsiTheme="majorBidi" w:cstheme="majorBidi" w:hint="cs"/>
          <w:rtl/>
        </w:rPr>
        <w:t>ובדעת רבינו</w:t>
      </w:r>
      <w:r w:rsidR="00DA3A9B" w:rsidRPr="00DA3A9B">
        <w:rPr>
          <w:rFonts w:asciiTheme="majorBidi" w:hAnsiTheme="majorBidi" w:cstheme="majorBidi"/>
          <w:rtl/>
        </w:rPr>
        <w:t xml:space="preserve"> הט"ז </w:t>
      </w:r>
      <w:r w:rsidR="00DD1845">
        <w:rPr>
          <w:rFonts w:asciiTheme="majorBidi" w:hAnsiTheme="majorBidi" w:cstheme="majorBidi" w:hint="cs"/>
          <w:rtl/>
        </w:rPr>
        <w:t xml:space="preserve">נראה לומר שסובר </w:t>
      </w:r>
      <w:r w:rsidR="00DA3A9B" w:rsidRPr="00DA3A9B">
        <w:rPr>
          <w:rFonts w:asciiTheme="majorBidi" w:hAnsiTheme="majorBidi" w:cstheme="majorBidi"/>
          <w:rtl/>
        </w:rPr>
        <w:t xml:space="preserve">שגם </w:t>
      </w:r>
      <w:r w:rsidR="00DD1845">
        <w:rPr>
          <w:rFonts w:asciiTheme="majorBidi" w:hAnsiTheme="majorBidi" w:cstheme="majorBidi" w:hint="cs"/>
          <w:rtl/>
        </w:rPr>
        <w:t>הא דה</w:t>
      </w:r>
      <w:r w:rsidR="00DA3A9B" w:rsidRPr="00DA3A9B">
        <w:rPr>
          <w:rFonts w:asciiTheme="majorBidi" w:hAnsiTheme="majorBidi" w:cstheme="majorBidi"/>
          <w:rtl/>
        </w:rPr>
        <w:t>איסור נהפך להיתר</w:t>
      </w:r>
      <w:r w:rsidR="00DD1845">
        <w:rPr>
          <w:rFonts w:asciiTheme="majorBidi" w:hAnsiTheme="majorBidi" w:cstheme="majorBidi" w:hint="cs"/>
          <w:rtl/>
        </w:rPr>
        <w:t>,</w:t>
      </w:r>
      <w:r w:rsidR="00DA3A9B" w:rsidRPr="00DA3A9B">
        <w:rPr>
          <w:rFonts w:asciiTheme="majorBidi" w:hAnsiTheme="majorBidi" w:cstheme="majorBidi"/>
          <w:rtl/>
        </w:rPr>
        <w:t xml:space="preserve"> תחילתו בתליה של הלך אחר הרוב.]</w:t>
      </w:r>
    </w:p>
    <w:p w:rsidR="00D86804" w:rsidRPr="00DA3A9B" w:rsidRDefault="00D86804" w:rsidP="00190B5F">
      <w:pPr>
        <w:jc w:val="both"/>
        <w:rPr>
          <w:rFonts w:asciiTheme="majorBidi" w:hAnsiTheme="majorBidi" w:cstheme="majorBidi"/>
        </w:rPr>
      </w:pPr>
      <w:r w:rsidRPr="00DA3A9B">
        <w:rPr>
          <w:rFonts w:asciiTheme="majorBidi" w:hAnsiTheme="majorBidi" w:cstheme="majorBidi"/>
          <w:rtl/>
        </w:rPr>
        <w:t xml:space="preserve"> </w:t>
      </w:r>
    </w:p>
    <w:sectPr w:rsidR="00D86804" w:rsidRPr="00DA3A9B" w:rsidSect="00190B5F">
      <w:type w:val="continuous"/>
      <w:pgSz w:w="11906" w:h="16838"/>
      <w:pgMar w:top="1440" w:right="1800" w:bottom="1440" w:left="1800" w:header="708" w:footer="708" w:gutter="0"/>
      <w:cols w:num="2"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684" w:rsidRDefault="00655684" w:rsidP="00BA253E">
      <w:pPr>
        <w:spacing w:after="0" w:line="240" w:lineRule="auto"/>
      </w:pPr>
      <w:r>
        <w:separator/>
      </w:r>
    </w:p>
  </w:endnote>
  <w:endnote w:type="continuationSeparator" w:id="0">
    <w:p w:rsidR="00655684" w:rsidRDefault="00655684" w:rsidP="00BA2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684" w:rsidRDefault="00655684" w:rsidP="00BA253E">
      <w:pPr>
        <w:spacing w:after="0" w:line="240" w:lineRule="auto"/>
      </w:pPr>
      <w:r>
        <w:separator/>
      </w:r>
    </w:p>
  </w:footnote>
  <w:footnote w:type="continuationSeparator" w:id="0">
    <w:p w:rsidR="00655684" w:rsidRDefault="00655684" w:rsidP="00BA253E">
      <w:pPr>
        <w:spacing w:after="0" w:line="240" w:lineRule="auto"/>
      </w:pPr>
      <w:r>
        <w:continuationSeparator/>
      </w:r>
    </w:p>
  </w:footnote>
  <w:footnote w:id="1">
    <w:p w:rsidR="00BA253E" w:rsidRPr="00BA253E" w:rsidRDefault="00BA253E">
      <w:pPr>
        <w:pStyle w:val="a5"/>
        <w:rPr>
          <w:sz w:val="18"/>
          <w:szCs w:val="18"/>
          <w:rtl/>
        </w:rPr>
      </w:pPr>
      <w:r>
        <w:rPr>
          <w:rStyle w:val="a7"/>
        </w:rPr>
        <w:footnoteRef/>
      </w:r>
      <w:r>
        <w:rPr>
          <w:rtl/>
        </w:rPr>
        <w:t xml:space="preserve"> </w:t>
      </w:r>
      <w:r w:rsidRPr="00BA253E">
        <w:rPr>
          <w:rFonts w:hint="cs"/>
          <w:sz w:val="18"/>
          <w:szCs w:val="18"/>
          <w:rtl/>
        </w:rPr>
        <w:t xml:space="preserve">כך היתה אמורה להיות ההבנה בדבריו. אמנם לשון הרשב"א היא שבכה"ג מוגדר לקיחה מהקבוע משום שהקבוע </w:t>
      </w:r>
      <w:r>
        <w:rPr>
          <w:rFonts w:hint="cs"/>
          <w:sz w:val="18"/>
          <w:szCs w:val="18"/>
          <w:rtl/>
        </w:rPr>
        <w:t>היה ידוע וניכר במקומו. וצ"ע דלכ</w:t>
      </w:r>
      <w:r w:rsidRPr="00BA253E">
        <w:rPr>
          <w:rFonts w:hint="cs"/>
          <w:sz w:val="18"/>
          <w:szCs w:val="18"/>
          <w:rtl/>
        </w:rPr>
        <w:t>אורה מעולם לא היה היתר הרשב"א מיוסד על הא דאין כאן לקיחה מהקבוע (וזו היא סברת הר"ן אשר תבואר לקמן) אלא הא דהספק לא התעורר במקום הקביעו</w:t>
      </w:r>
      <w:r w:rsidR="00C43EC1">
        <w:rPr>
          <w:rFonts w:hint="cs"/>
          <w:sz w:val="18"/>
          <w:szCs w:val="18"/>
          <w:rtl/>
        </w:rPr>
        <w:t>ת, ואם כן היה לו לבאר אמאי מוגד</w:t>
      </w:r>
      <w:r w:rsidRPr="00BA253E">
        <w:rPr>
          <w:rFonts w:hint="cs"/>
          <w:sz w:val="18"/>
          <w:szCs w:val="18"/>
          <w:rtl/>
        </w:rPr>
        <w:t>ר שהספק התעורר. וצ"ע.</w:t>
      </w:r>
    </w:p>
  </w:footnote>
  <w:footnote w:id="2">
    <w:p w:rsidR="009277FF" w:rsidRDefault="009277FF">
      <w:pPr>
        <w:pStyle w:val="a5"/>
        <w:rPr>
          <w:rtl/>
        </w:rPr>
      </w:pPr>
      <w:r>
        <w:rPr>
          <w:rStyle w:val="a7"/>
        </w:rPr>
        <w:footnoteRef/>
      </w:r>
      <w:r>
        <w:rPr>
          <w:rtl/>
        </w:rPr>
        <w:t xml:space="preserve"> </w:t>
      </w:r>
      <w:r>
        <w:rPr>
          <w:rFonts w:hint="cs"/>
          <w:rtl/>
        </w:rPr>
        <w:t xml:space="preserve">ומעשה שהיה בבשר עגל שמתחילה מלחוהו בכלי שא"מ, ואליבא דהמחבר נאסר רק החלק שבאותו הציר, ואח"כ חתכו וחלקו בין השותפים ושוב נודע להם שאותו חלק הבשר אסור </w:t>
      </w:r>
      <w:r>
        <w:rPr>
          <w:rtl/>
        </w:rPr>
        <w:t>–</w:t>
      </w:r>
      <w:r>
        <w:rPr>
          <w:rFonts w:hint="cs"/>
          <w:rtl/>
        </w:rPr>
        <w:t xml:space="preserve"> אשר יש לדון האם כיון שלהם לא היה ידוע הדין , נחשב שהספק נולד רק אחר הלקיחה. או כיון שבעצם הדין ידוע, נחשב שהספק התחיל לפני הלקיח</w:t>
      </w:r>
      <w:r w:rsidR="00C43EC1">
        <w:rPr>
          <w:rFonts w:hint="cs"/>
          <w:rtl/>
        </w:rPr>
        <w:t>ה.</w:t>
      </w:r>
      <w:r>
        <w:rPr>
          <w:rFonts w:hint="cs"/>
          <w:rtl/>
        </w:rPr>
        <w:t xml:space="preserve"> </w:t>
      </w:r>
    </w:p>
  </w:footnote>
  <w:footnote w:id="3">
    <w:p w:rsidR="00C43EC1" w:rsidRPr="00C43EC1" w:rsidRDefault="00C43EC1">
      <w:pPr>
        <w:pStyle w:val="a5"/>
        <w:rPr>
          <w:rtl/>
        </w:rPr>
      </w:pPr>
      <w:r>
        <w:rPr>
          <w:rStyle w:val="a7"/>
        </w:rPr>
        <w:footnoteRef/>
      </w:r>
      <w:r>
        <w:rPr>
          <w:rtl/>
        </w:rPr>
        <w:t xml:space="preserve"> </w:t>
      </w:r>
      <w:r>
        <w:rPr>
          <w:rFonts w:hint="cs"/>
          <w:rtl/>
        </w:rPr>
        <w:t xml:space="preserve">ובפמ"ג (ש"ד י"ד) מבואר שקרא בפשיטות את דברי הרא"ה שכל מה שבא לחלק הוא בין קבוע </w:t>
      </w:r>
      <w:r>
        <w:rPr>
          <w:rFonts w:hint="cs"/>
          <w:b/>
          <w:bCs/>
          <w:rtl/>
        </w:rPr>
        <w:t xml:space="preserve">דאורייתא </w:t>
      </w:r>
      <w:r>
        <w:rPr>
          <w:rFonts w:hint="cs"/>
          <w:rtl/>
        </w:rPr>
        <w:t xml:space="preserve">לקבוע </w:t>
      </w:r>
      <w:r>
        <w:rPr>
          <w:rFonts w:hint="cs"/>
          <w:b/>
          <w:bCs/>
          <w:rtl/>
        </w:rPr>
        <w:t xml:space="preserve">דרבנן.  </w:t>
      </w:r>
      <w:r>
        <w:rPr>
          <w:rFonts w:hint="cs"/>
          <w:rtl/>
        </w:rPr>
        <w:t>והשי"ת יאיר עינינו בהבנת דברי רבינו הפמ"ג היכן מצא רמז בתוך דבריו הברורים של הרא"ה, להגיד שהנושא הוא חילוק בין קבוע דאורייתא לדרבנן, וצע"ג מאוד.</w:t>
      </w:r>
    </w:p>
  </w:footnote>
  <w:footnote w:id="4">
    <w:p w:rsidR="00491C7A" w:rsidRPr="00491C7A" w:rsidRDefault="00491C7A">
      <w:pPr>
        <w:pStyle w:val="a5"/>
        <w:rPr>
          <w:sz w:val="18"/>
          <w:szCs w:val="18"/>
        </w:rPr>
      </w:pPr>
      <w:r>
        <w:rPr>
          <w:rStyle w:val="a7"/>
        </w:rPr>
        <w:footnoteRef/>
      </w:r>
      <w:r>
        <w:rPr>
          <w:rtl/>
        </w:rPr>
        <w:t xml:space="preserve"> </w:t>
      </w:r>
      <w:r w:rsidRPr="00491C7A">
        <w:rPr>
          <w:rFonts w:hint="cs"/>
          <w:sz w:val="18"/>
          <w:szCs w:val="18"/>
          <w:rtl/>
        </w:rPr>
        <w:t xml:space="preserve">ועי' במשפטי ארץ שדן בהרחבה על מקרים שידוע שיש מטע ערלה בין המטעים ודימהו לחנות שמכרה בשר נבילה ואין ידוע איזו. ולכאורה יש לחלק דבמטעים יודו כ"ע דהוי קבוע, כיון שהמטע הוא סיבת הערלה, משא"כ בחנויות אשר ההגדרה האמיתית שיש </w:t>
      </w:r>
      <w:r w:rsidR="00E06798">
        <w:rPr>
          <w:rFonts w:hint="cs"/>
          <w:sz w:val="18"/>
          <w:szCs w:val="18"/>
          <w:rtl/>
        </w:rPr>
        <w:t>כאן תערובת חתיכות ועניין החנויות</w:t>
      </w:r>
      <w:bookmarkStart w:id="0" w:name="_GoBack"/>
      <w:bookmarkEnd w:id="0"/>
      <w:r w:rsidRPr="00491C7A">
        <w:rPr>
          <w:rFonts w:hint="cs"/>
          <w:sz w:val="18"/>
          <w:szCs w:val="18"/>
          <w:rtl/>
        </w:rPr>
        <w:t xml:space="preserve"> מקרי הוא</w:t>
      </w:r>
      <w:r w:rsidR="00C43EC1">
        <w:rPr>
          <w:rFonts w:hint="cs"/>
          <w:sz w:val="18"/>
          <w:szCs w:val="18"/>
          <w:rtl/>
        </w:rPr>
        <w:t xml:space="preserve"> (והוא מעין השגת החו"ד על דברי האחרונים הנ"ל)</w:t>
      </w:r>
      <w:r w:rsidRPr="00491C7A">
        <w:rPr>
          <w:rFonts w:hint="cs"/>
          <w:sz w:val="18"/>
          <w:szCs w:val="18"/>
          <w:rtl/>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24"/>
    <w:rsid w:val="00115455"/>
    <w:rsid w:val="00190B5F"/>
    <w:rsid w:val="00193124"/>
    <w:rsid w:val="00310B81"/>
    <w:rsid w:val="0033526C"/>
    <w:rsid w:val="00447D02"/>
    <w:rsid w:val="00491C7A"/>
    <w:rsid w:val="00514B1F"/>
    <w:rsid w:val="00571229"/>
    <w:rsid w:val="00630AA5"/>
    <w:rsid w:val="00655684"/>
    <w:rsid w:val="0068624A"/>
    <w:rsid w:val="006E574A"/>
    <w:rsid w:val="00752578"/>
    <w:rsid w:val="00766028"/>
    <w:rsid w:val="008D39E8"/>
    <w:rsid w:val="00907DD0"/>
    <w:rsid w:val="009277FF"/>
    <w:rsid w:val="009743F8"/>
    <w:rsid w:val="00BA253E"/>
    <w:rsid w:val="00C04C75"/>
    <w:rsid w:val="00C43EC1"/>
    <w:rsid w:val="00C5150C"/>
    <w:rsid w:val="00C557FC"/>
    <w:rsid w:val="00CF19E0"/>
    <w:rsid w:val="00D820B6"/>
    <w:rsid w:val="00D8343D"/>
    <w:rsid w:val="00D86804"/>
    <w:rsid w:val="00DA3A9B"/>
    <w:rsid w:val="00DC7328"/>
    <w:rsid w:val="00DD1845"/>
    <w:rsid w:val="00E06798"/>
    <w:rsid w:val="00E12DA4"/>
    <w:rsid w:val="00E224EB"/>
    <w:rsid w:val="00E772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9628B"/>
  <w15:chartTrackingRefBased/>
  <w15:docId w15:val="{4CDBA47B-D266-439F-B8DF-71D0DEC38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10B81"/>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310B81"/>
    <w:rPr>
      <w:rFonts w:ascii="Tahoma" w:hAnsi="Tahoma" w:cs="Tahoma"/>
      <w:sz w:val="18"/>
      <w:szCs w:val="18"/>
    </w:rPr>
  </w:style>
  <w:style w:type="paragraph" w:styleId="a5">
    <w:name w:val="footnote text"/>
    <w:basedOn w:val="a"/>
    <w:link w:val="a6"/>
    <w:uiPriority w:val="99"/>
    <w:semiHidden/>
    <w:unhideWhenUsed/>
    <w:rsid w:val="00BA253E"/>
    <w:pPr>
      <w:spacing w:after="0" w:line="240" w:lineRule="auto"/>
    </w:pPr>
    <w:rPr>
      <w:sz w:val="20"/>
      <w:szCs w:val="20"/>
    </w:rPr>
  </w:style>
  <w:style w:type="character" w:customStyle="1" w:styleId="a6">
    <w:name w:val="טקסט הערת שוליים תו"/>
    <w:basedOn w:val="a0"/>
    <w:link w:val="a5"/>
    <w:uiPriority w:val="99"/>
    <w:semiHidden/>
    <w:rsid w:val="00BA253E"/>
    <w:rPr>
      <w:sz w:val="20"/>
      <w:szCs w:val="20"/>
    </w:rPr>
  </w:style>
  <w:style w:type="character" w:styleId="a7">
    <w:name w:val="footnote reference"/>
    <w:basedOn w:val="a0"/>
    <w:uiPriority w:val="99"/>
    <w:semiHidden/>
    <w:unhideWhenUsed/>
    <w:rsid w:val="00BA25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3</Pages>
  <Words>1166</Words>
  <Characters>5834</Characters>
  <Application>Microsoft Office Word</Application>
  <DocSecurity>0</DocSecurity>
  <Lines>48</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13</cp:revision>
  <cp:lastPrinted>2021-11-16T10:19:00Z</cp:lastPrinted>
  <dcterms:created xsi:type="dcterms:W3CDTF">2021-11-11T07:42:00Z</dcterms:created>
  <dcterms:modified xsi:type="dcterms:W3CDTF">2023-02-25T22:48:00Z</dcterms:modified>
</cp:coreProperties>
</file>