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028" w:rsidRPr="006A7B92" w:rsidRDefault="007A4835" w:rsidP="008F157B">
      <w:pPr>
        <w:jc w:val="center"/>
        <w:rPr>
          <w:rFonts w:asciiTheme="majorBidi" w:hAnsiTheme="majorBidi" w:cstheme="majorBidi"/>
          <w:sz w:val="24"/>
          <w:szCs w:val="24"/>
          <w:rtl/>
        </w:rPr>
      </w:pPr>
      <w:r w:rsidRPr="006A7B92">
        <w:rPr>
          <w:rFonts w:asciiTheme="majorBidi" w:hAnsiTheme="majorBidi" w:cstheme="majorBidi"/>
          <w:sz w:val="24"/>
          <w:szCs w:val="24"/>
          <w:rtl/>
        </w:rPr>
        <w:t>בעזרת השם יתברך</w:t>
      </w:r>
    </w:p>
    <w:p w:rsidR="007A4835" w:rsidRDefault="007A4835" w:rsidP="008F157B">
      <w:pPr>
        <w:jc w:val="center"/>
        <w:rPr>
          <w:rFonts w:asciiTheme="majorBidi" w:hAnsiTheme="majorBidi" w:cstheme="majorBidi"/>
          <w:b/>
          <w:bCs/>
          <w:sz w:val="24"/>
          <w:szCs w:val="24"/>
          <w:rtl/>
        </w:rPr>
      </w:pPr>
      <w:r w:rsidRPr="006A7B92">
        <w:rPr>
          <w:rFonts w:asciiTheme="majorBidi" w:hAnsiTheme="majorBidi" w:cstheme="majorBidi"/>
          <w:b/>
          <w:bCs/>
          <w:sz w:val="24"/>
          <w:szCs w:val="24"/>
          <w:rtl/>
        </w:rPr>
        <w:t>ציונים והערות לטור שו"ע סימן ק"י</w:t>
      </w:r>
    </w:p>
    <w:p w:rsidR="008F157B" w:rsidRPr="006A7B92" w:rsidRDefault="008F157B" w:rsidP="008F157B">
      <w:pPr>
        <w:jc w:val="center"/>
        <w:rPr>
          <w:rFonts w:asciiTheme="majorBidi" w:hAnsiTheme="majorBidi" w:cstheme="majorBidi"/>
          <w:b/>
          <w:bCs/>
          <w:sz w:val="24"/>
          <w:szCs w:val="24"/>
          <w:rtl/>
        </w:rPr>
      </w:pPr>
    </w:p>
    <w:p w:rsidR="008F157B" w:rsidRDefault="008F157B" w:rsidP="008F157B">
      <w:pPr>
        <w:jc w:val="both"/>
        <w:rPr>
          <w:rFonts w:asciiTheme="majorBidi" w:hAnsiTheme="majorBidi" w:cstheme="majorBidi"/>
          <w:b/>
          <w:bCs/>
          <w:sz w:val="24"/>
          <w:szCs w:val="24"/>
          <w:rtl/>
        </w:rPr>
        <w:sectPr w:rsidR="008F157B" w:rsidSect="008D39E8">
          <w:pgSz w:w="11906" w:h="16838"/>
          <w:pgMar w:top="1440" w:right="1800" w:bottom="1440" w:left="1800" w:header="708" w:footer="708" w:gutter="0"/>
          <w:cols w:space="708"/>
          <w:bidi/>
          <w:rtlGutter/>
          <w:docGrid w:linePitch="360"/>
        </w:sectPr>
      </w:pPr>
    </w:p>
    <w:p w:rsidR="007A4835" w:rsidRPr="006A7B92" w:rsidRDefault="007A4835" w:rsidP="008F157B">
      <w:pPr>
        <w:jc w:val="both"/>
        <w:rPr>
          <w:rFonts w:asciiTheme="majorBidi" w:hAnsiTheme="majorBidi" w:cstheme="majorBidi"/>
          <w:b/>
          <w:bCs/>
          <w:sz w:val="24"/>
          <w:szCs w:val="24"/>
          <w:rtl/>
        </w:rPr>
      </w:pPr>
      <w:r w:rsidRPr="006A7B92">
        <w:rPr>
          <w:rFonts w:asciiTheme="majorBidi" w:hAnsiTheme="majorBidi" w:cstheme="majorBidi"/>
          <w:b/>
          <w:bCs/>
          <w:sz w:val="24"/>
          <w:szCs w:val="24"/>
          <w:rtl/>
        </w:rPr>
        <w:lastRenderedPageBreak/>
        <w:t>א, פירש קודם שנולד הספק</w:t>
      </w:r>
      <w:r w:rsidR="000F7154" w:rsidRPr="006A7B92">
        <w:rPr>
          <w:rFonts w:asciiTheme="majorBidi" w:hAnsiTheme="majorBidi" w:cstheme="majorBidi"/>
          <w:b/>
          <w:bCs/>
          <w:sz w:val="24"/>
          <w:szCs w:val="24"/>
          <w:rtl/>
        </w:rPr>
        <w:t xml:space="preserve"> – חלוקות המקרים</w:t>
      </w:r>
    </w:p>
    <w:p w:rsidR="007A4835" w:rsidRPr="006A7B92" w:rsidRDefault="007A4835" w:rsidP="008F157B">
      <w:pPr>
        <w:jc w:val="both"/>
        <w:rPr>
          <w:rFonts w:asciiTheme="majorBidi" w:hAnsiTheme="majorBidi" w:cstheme="majorBidi"/>
          <w:sz w:val="24"/>
          <w:szCs w:val="24"/>
          <w:rtl/>
        </w:rPr>
      </w:pPr>
      <w:r w:rsidRPr="006A7B92">
        <w:rPr>
          <w:rFonts w:asciiTheme="majorBidi" w:hAnsiTheme="majorBidi" w:cstheme="majorBidi"/>
          <w:sz w:val="24"/>
          <w:szCs w:val="24"/>
          <w:rtl/>
        </w:rPr>
        <w:t xml:space="preserve">הנה כהקדמה לנושא זה שדנו בו הרשב"א הרא"ה הר"ן הטור הב"י הרמ"א הב"ח הדרישה הט"ז והש"ך ועוד, יש להעמיד חמישה ציורים שונים באופן לידת הספק בבשר שנלקח מהחנויות: </w:t>
      </w:r>
      <w:r w:rsidRPr="006A7B92">
        <w:rPr>
          <w:rFonts w:asciiTheme="majorBidi" w:hAnsiTheme="majorBidi" w:cstheme="majorBidi"/>
          <w:b/>
          <w:bCs/>
          <w:sz w:val="24"/>
          <w:szCs w:val="24"/>
          <w:rtl/>
        </w:rPr>
        <w:t>א,</w:t>
      </w:r>
      <w:r w:rsidRPr="006A7B92">
        <w:rPr>
          <w:rFonts w:asciiTheme="majorBidi" w:hAnsiTheme="majorBidi" w:cstheme="majorBidi"/>
          <w:sz w:val="24"/>
          <w:szCs w:val="24"/>
          <w:rtl/>
        </w:rPr>
        <w:t xml:space="preserve"> אדם שיודע שיש חנות טריפה, ומשום מה לא שם לב מאיזה חנות לקח.   </w:t>
      </w:r>
      <w:r w:rsidRPr="006A7B92">
        <w:rPr>
          <w:rFonts w:asciiTheme="majorBidi" w:hAnsiTheme="majorBidi" w:cstheme="majorBidi"/>
          <w:b/>
          <w:bCs/>
          <w:sz w:val="24"/>
          <w:szCs w:val="24"/>
          <w:rtl/>
        </w:rPr>
        <w:t>ב,</w:t>
      </w:r>
      <w:r w:rsidRPr="006A7B92">
        <w:rPr>
          <w:rFonts w:asciiTheme="majorBidi" w:hAnsiTheme="majorBidi" w:cstheme="majorBidi"/>
          <w:sz w:val="24"/>
          <w:szCs w:val="24"/>
          <w:rtl/>
        </w:rPr>
        <w:t xml:space="preserve"> ישנה חנות טריפה ידועה, והקונה לא ידע זאת, ונודע לו רק אח"כ, ואינו זוכר היכן קנה.  </w:t>
      </w:r>
      <w:r w:rsidRPr="006A7B92">
        <w:rPr>
          <w:rFonts w:asciiTheme="majorBidi" w:hAnsiTheme="majorBidi" w:cstheme="majorBidi"/>
          <w:b/>
          <w:bCs/>
          <w:sz w:val="24"/>
          <w:szCs w:val="24"/>
          <w:rtl/>
        </w:rPr>
        <w:t>ג</w:t>
      </w:r>
      <w:r w:rsidRPr="006A7B92">
        <w:rPr>
          <w:rFonts w:asciiTheme="majorBidi" w:hAnsiTheme="majorBidi" w:cstheme="majorBidi"/>
          <w:sz w:val="24"/>
          <w:szCs w:val="24"/>
          <w:rtl/>
        </w:rPr>
        <w:t xml:space="preserve">,  כל החנויות מוחזקות כשרות ולאחר הלקיחה התברר שחנות מסויימת, הבשר שמכרה היום היה טריפה, והוא אינו זוכר מהיכן לקח.  </w:t>
      </w:r>
      <w:r w:rsidRPr="006A7B92">
        <w:rPr>
          <w:rFonts w:asciiTheme="majorBidi" w:hAnsiTheme="majorBidi" w:cstheme="majorBidi"/>
          <w:b/>
          <w:bCs/>
          <w:sz w:val="24"/>
          <w:szCs w:val="24"/>
          <w:rtl/>
        </w:rPr>
        <w:t>ד,</w:t>
      </w:r>
      <w:r w:rsidRPr="006A7B92">
        <w:rPr>
          <w:rFonts w:asciiTheme="majorBidi" w:hAnsiTheme="majorBidi" w:cstheme="majorBidi"/>
          <w:sz w:val="24"/>
          <w:szCs w:val="24"/>
          <w:rtl/>
        </w:rPr>
        <w:t xml:space="preserve"> חנויות כשרות כנ"ל, ולאחר הלקיחה התברר שאחת החנויות, הבשר שמכרה היום היה טריפה, ואין ידוע איזו מהחנויות.  </w:t>
      </w:r>
      <w:r w:rsidRPr="006A7B92">
        <w:rPr>
          <w:rFonts w:asciiTheme="majorBidi" w:hAnsiTheme="majorBidi" w:cstheme="majorBidi"/>
          <w:b/>
          <w:bCs/>
          <w:sz w:val="24"/>
          <w:szCs w:val="24"/>
          <w:rtl/>
        </w:rPr>
        <w:t>ה</w:t>
      </w:r>
      <w:r w:rsidRPr="006A7B92">
        <w:rPr>
          <w:rFonts w:asciiTheme="majorBidi" w:hAnsiTheme="majorBidi" w:cstheme="majorBidi"/>
          <w:sz w:val="24"/>
          <w:szCs w:val="24"/>
          <w:rtl/>
        </w:rPr>
        <w:t>, חנויות כשרות, ולאחר הלקיחה התברר שבאותה חנות שלקח היה בשר כשרה וטריפה מעורבים.</w:t>
      </w:r>
    </w:p>
    <w:p w:rsidR="007A4835" w:rsidRPr="006A7B92" w:rsidRDefault="007A4835" w:rsidP="008F157B">
      <w:pPr>
        <w:jc w:val="both"/>
        <w:rPr>
          <w:rFonts w:asciiTheme="majorBidi" w:hAnsiTheme="majorBidi" w:cstheme="majorBidi"/>
          <w:sz w:val="24"/>
          <w:szCs w:val="24"/>
          <w:rtl/>
        </w:rPr>
      </w:pPr>
      <w:r w:rsidRPr="006A7B92">
        <w:rPr>
          <w:rFonts w:asciiTheme="majorBidi" w:hAnsiTheme="majorBidi" w:cstheme="majorBidi"/>
          <w:sz w:val="24"/>
          <w:szCs w:val="24"/>
          <w:rtl/>
        </w:rPr>
        <w:t xml:space="preserve">והנה, </w:t>
      </w:r>
      <w:r w:rsidRPr="006A7B92">
        <w:rPr>
          <w:rFonts w:asciiTheme="majorBidi" w:hAnsiTheme="majorBidi" w:cstheme="majorBidi"/>
          <w:b/>
          <w:bCs/>
          <w:sz w:val="24"/>
          <w:szCs w:val="24"/>
          <w:rtl/>
        </w:rPr>
        <w:t>מקרה</w:t>
      </w:r>
      <w:r w:rsidRPr="006A7B92">
        <w:rPr>
          <w:rFonts w:asciiTheme="majorBidi" w:hAnsiTheme="majorBidi" w:cstheme="majorBidi"/>
          <w:sz w:val="24"/>
          <w:szCs w:val="24"/>
          <w:rtl/>
        </w:rPr>
        <w:t xml:space="preserve"> </w:t>
      </w:r>
      <w:r w:rsidRPr="006A7B92">
        <w:rPr>
          <w:rFonts w:asciiTheme="majorBidi" w:hAnsiTheme="majorBidi" w:cstheme="majorBidi"/>
          <w:b/>
          <w:bCs/>
          <w:sz w:val="24"/>
          <w:szCs w:val="24"/>
          <w:rtl/>
        </w:rPr>
        <w:t>א</w:t>
      </w:r>
      <w:r w:rsidRPr="006A7B92">
        <w:rPr>
          <w:rFonts w:asciiTheme="majorBidi" w:hAnsiTheme="majorBidi" w:cstheme="majorBidi"/>
          <w:sz w:val="24"/>
          <w:szCs w:val="24"/>
          <w:rtl/>
        </w:rPr>
        <w:t xml:space="preserve">', הרי זה פשוט שכלול במקרה של לקח מהחנות דמוגדר קבוע.  </w:t>
      </w:r>
      <w:r w:rsidRPr="006A7B92">
        <w:rPr>
          <w:rFonts w:asciiTheme="majorBidi" w:hAnsiTheme="majorBidi" w:cstheme="majorBidi"/>
          <w:b/>
          <w:bCs/>
          <w:sz w:val="24"/>
          <w:szCs w:val="24"/>
          <w:rtl/>
        </w:rPr>
        <w:t>מקרה ב'</w:t>
      </w:r>
      <w:r w:rsidRPr="006A7B92">
        <w:rPr>
          <w:rFonts w:asciiTheme="majorBidi" w:hAnsiTheme="majorBidi" w:cstheme="majorBidi"/>
          <w:sz w:val="24"/>
          <w:szCs w:val="24"/>
          <w:rtl/>
        </w:rPr>
        <w:t xml:space="preserve">, גם הוא למעשה מוסכם שנחשב קבוע, אלא שלהבנת הפר"ח בדברי משמרת הבית, הבין המשה"ב שהרא"ה הבין בדברי התוה"ב שכזה מקרה נחשב פירש, וביאר שלא כך הוא.  </w:t>
      </w:r>
      <w:r w:rsidRPr="006A7B92">
        <w:rPr>
          <w:rFonts w:asciiTheme="majorBidi" w:hAnsiTheme="majorBidi" w:cstheme="majorBidi"/>
          <w:b/>
          <w:bCs/>
          <w:sz w:val="24"/>
          <w:szCs w:val="24"/>
          <w:rtl/>
        </w:rPr>
        <w:t>מקרה</w:t>
      </w:r>
      <w:r w:rsidRPr="006A7B92">
        <w:rPr>
          <w:rFonts w:asciiTheme="majorBidi" w:hAnsiTheme="majorBidi" w:cstheme="majorBidi"/>
          <w:sz w:val="24"/>
          <w:szCs w:val="24"/>
          <w:rtl/>
        </w:rPr>
        <w:t xml:space="preserve"> </w:t>
      </w:r>
      <w:r w:rsidRPr="006A7B92">
        <w:rPr>
          <w:rFonts w:asciiTheme="majorBidi" w:hAnsiTheme="majorBidi" w:cstheme="majorBidi"/>
          <w:b/>
          <w:bCs/>
          <w:sz w:val="24"/>
          <w:szCs w:val="24"/>
          <w:rtl/>
        </w:rPr>
        <w:t>ג'</w:t>
      </w:r>
      <w:r w:rsidR="000F7154" w:rsidRPr="006A7B92">
        <w:rPr>
          <w:rFonts w:asciiTheme="majorBidi" w:hAnsiTheme="majorBidi" w:cstheme="majorBidi"/>
          <w:sz w:val="24"/>
          <w:szCs w:val="24"/>
          <w:rtl/>
        </w:rPr>
        <w:t xml:space="preserve">, להבנת הש"ך </w:t>
      </w:r>
      <w:r w:rsidR="008F157B">
        <w:rPr>
          <w:rFonts w:asciiTheme="majorBidi" w:hAnsiTheme="majorBidi" w:cstheme="majorBidi" w:hint="cs"/>
          <w:sz w:val="24"/>
          <w:szCs w:val="24"/>
          <w:rtl/>
        </w:rPr>
        <w:t xml:space="preserve">(סקי"ד) </w:t>
      </w:r>
      <w:r w:rsidR="000F7154" w:rsidRPr="006A7B92">
        <w:rPr>
          <w:rFonts w:asciiTheme="majorBidi" w:hAnsiTheme="majorBidi" w:cstheme="majorBidi"/>
          <w:sz w:val="24"/>
          <w:szCs w:val="24"/>
          <w:rtl/>
        </w:rPr>
        <w:t xml:space="preserve">בדברי הרשב"א והרא"ה, הסכימו הם שמקרה זה נחשב קבוע, וטוען הש"ך שלדעת הר"ן בחולין, אין זה נחשב קבוע.  </w:t>
      </w:r>
      <w:r w:rsidR="000F7154" w:rsidRPr="006A7B92">
        <w:rPr>
          <w:rFonts w:asciiTheme="majorBidi" w:hAnsiTheme="majorBidi" w:cstheme="majorBidi"/>
          <w:b/>
          <w:bCs/>
          <w:sz w:val="24"/>
          <w:szCs w:val="24"/>
          <w:rtl/>
        </w:rPr>
        <w:t>מקרה</w:t>
      </w:r>
      <w:r w:rsidR="000F7154" w:rsidRPr="006A7B92">
        <w:rPr>
          <w:rFonts w:asciiTheme="majorBidi" w:hAnsiTheme="majorBidi" w:cstheme="majorBidi"/>
          <w:sz w:val="24"/>
          <w:szCs w:val="24"/>
          <w:rtl/>
        </w:rPr>
        <w:t xml:space="preserve"> </w:t>
      </w:r>
      <w:r w:rsidR="000F7154" w:rsidRPr="006A7B92">
        <w:rPr>
          <w:rFonts w:asciiTheme="majorBidi" w:hAnsiTheme="majorBidi" w:cstheme="majorBidi"/>
          <w:b/>
          <w:bCs/>
          <w:sz w:val="24"/>
          <w:szCs w:val="24"/>
          <w:rtl/>
        </w:rPr>
        <w:t xml:space="preserve">ד', </w:t>
      </w:r>
      <w:r w:rsidR="000F7154" w:rsidRPr="006A7B92">
        <w:rPr>
          <w:rFonts w:asciiTheme="majorBidi" w:hAnsiTheme="majorBidi" w:cstheme="majorBidi"/>
          <w:sz w:val="24"/>
          <w:szCs w:val="24"/>
          <w:rtl/>
        </w:rPr>
        <w:t>פשטות דברי הש"ך, שגם על מקרה זה הסכימו הרשב"א והרא"ה שנ</w:t>
      </w:r>
      <w:r w:rsidR="008F157B">
        <w:rPr>
          <w:rFonts w:asciiTheme="majorBidi" w:hAnsiTheme="majorBidi" w:cstheme="majorBidi"/>
          <w:sz w:val="24"/>
          <w:szCs w:val="24"/>
          <w:rtl/>
        </w:rPr>
        <w:t xml:space="preserve">חשב קבוע, וטען הש"ך שבדברי </w:t>
      </w:r>
      <w:r w:rsidR="008F157B">
        <w:rPr>
          <w:rFonts w:asciiTheme="majorBidi" w:hAnsiTheme="majorBidi" w:cstheme="majorBidi" w:hint="cs"/>
          <w:sz w:val="24"/>
          <w:szCs w:val="24"/>
          <w:rtl/>
        </w:rPr>
        <w:t>דרכ"מ</w:t>
      </w:r>
      <w:r w:rsidR="000F7154" w:rsidRPr="006A7B92">
        <w:rPr>
          <w:rFonts w:asciiTheme="majorBidi" w:hAnsiTheme="majorBidi" w:cstheme="majorBidi"/>
          <w:sz w:val="24"/>
          <w:szCs w:val="24"/>
          <w:rtl/>
        </w:rPr>
        <w:t xml:space="preserve"> דרישה ב"ח מבואר שהבי</w:t>
      </w:r>
      <w:r w:rsidR="008F157B">
        <w:rPr>
          <w:rFonts w:asciiTheme="majorBidi" w:hAnsiTheme="majorBidi" w:cstheme="majorBidi"/>
          <w:sz w:val="24"/>
          <w:szCs w:val="24"/>
          <w:rtl/>
        </w:rPr>
        <w:t>נו שנחשב פרוש.  אולם עיין חוו"ד</w:t>
      </w:r>
      <w:r w:rsidR="008F157B">
        <w:rPr>
          <w:rFonts w:asciiTheme="majorBidi" w:hAnsiTheme="majorBidi" w:cstheme="majorBidi" w:hint="cs"/>
          <w:sz w:val="24"/>
          <w:szCs w:val="24"/>
          <w:rtl/>
        </w:rPr>
        <w:t xml:space="preserve"> (סק"ג)</w:t>
      </w:r>
      <w:r w:rsidR="000F7154" w:rsidRPr="006A7B92">
        <w:rPr>
          <w:rFonts w:asciiTheme="majorBidi" w:hAnsiTheme="majorBidi" w:cstheme="majorBidi"/>
          <w:sz w:val="24"/>
          <w:szCs w:val="24"/>
          <w:rtl/>
        </w:rPr>
        <w:t xml:space="preserve"> שלא על מקרה זה דיבר הש"ך, אלא רק על מקרה </w:t>
      </w:r>
      <w:r w:rsidR="000F7154" w:rsidRPr="006A7B92">
        <w:rPr>
          <w:rFonts w:asciiTheme="majorBidi" w:hAnsiTheme="majorBidi" w:cstheme="majorBidi"/>
          <w:b/>
          <w:bCs/>
          <w:sz w:val="24"/>
          <w:szCs w:val="24"/>
          <w:rtl/>
        </w:rPr>
        <w:t>ג'</w:t>
      </w:r>
      <w:r w:rsidR="000F7154" w:rsidRPr="006A7B92">
        <w:rPr>
          <w:rFonts w:asciiTheme="majorBidi" w:hAnsiTheme="majorBidi" w:cstheme="majorBidi"/>
          <w:sz w:val="24"/>
          <w:szCs w:val="24"/>
          <w:rtl/>
        </w:rPr>
        <w:t xml:space="preserve">.  </w:t>
      </w:r>
      <w:r w:rsidR="000F7154" w:rsidRPr="006A7B92">
        <w:rPr>
          <w:rFonts w:asciiTheme="majorBidi" w:hAnsiTheme="majorBidi" w:cstheme="majorBidi"/>
          <w:b/>
          <w:bCs/>
          <w:sz w:val="24"/>
          <w:szCs w:val="24"/>
          <w:rtl/>
        </w:rPr>
        <w:t>מקרה ה'</w:t>
      </w:r>
      <w:r w:rsidR="000F7154" w:rsidRPr="006A7B92">
        <w:rPr>
          <w:rFonts w:asciiTheme="majorBidi" w:hAnsiTheme="majorBidi" w:cstheme="majorBidi"/>
          <w:sz w:val="24"/>
          <w:szCs w:val="24"/>
          <w:rtl/>
        </w:rPr>
        <w:t>, מוסכם על כולם שנחשב פרוש ולא קבוע.</w:t>
      </w:r>
    </w:p>
    <w:p w:rsidR="000F7154" w:rsidRPr="006A7B92" w:rsidRDefault="000F7154" w:rsidP="008F157B">
      <w:pPr>
        <w:jc w:val="both"/>
        <w:rPr>
          <w:rFonts w:asciiTheme="majorBidi" w:hAnsiTheme="majorBidi" w:cstheme="majorBidi"/>
          <w:sz w:val="24"/>
          <w:szCs w:val="24"/>
          <w:rtl/>
        </w:rPr>
      </w:pPr>
    </w:p>
    <w:p w:rsidR="008B270F" w:rsidRPr="006A7B92" w:rsidRDefault="000F7154" w:rsidP="008F157B">
      <w:pPr>
        <w:jc w:val="both"/>
        <w:rPr>
          <w:rFonts w:asciiTheme="majorBidi" w:hAnsiTheme="majorBidi" w:cstheme="majorBidi"/>
          <w:b/>
          <w:bCs/>
          <w:sz w:val="24"/>
          <w:szCs w:val="24"/>
          <w:rtl/>
        </w:rPr>
      </w:pPr>
      <w:r w:rsidRPr="006A7B92">
        <w:rPr>
          <w:rFonts w:asciiTheme="majorBidi" w:hAnsiTheme="majorBidi" w:cstheme="majorBidi"/>
          <w:b/>
          <w:bCs/>
          <w:sz w:val="24"/>
          <w:szCs w:val="24"/>
          <w:rtl/>
        </w:rPr>
        <w:t>ב, פירש קודם שנולד הספק –</w:t>
      </w:r>
      <w:r w:rsidR="008F157B">
        <w:rPr>
          <w:rFonts w:asciiTheme="majorBidi" w:hAnsiTheme="majorBidi" w:cstheme="majorBidi"/>
          <w:b/>
          <w:bCs/>
          <w:sz w:val="24"/>
          <w:szCs w:val="24"/>
          <w:rtl/>
        </w:rPr>
        <w:t xml:space="preserve"> סברות</w:t>
      </w:r>
      <w:r w:rsidR="008F157B">
        <w:rPr>
          <w:rFonts w:asciiTheme="majorBidi" w:hAnsiTheme="majorBidi" w:cstheme="majorBidi" w:hint="cs"/>
          <w:b/>
          <w:bCs/>
          <w:sz w:val="24"/>
          <w:szCs w:val="24"/>
          <w:rtl/>
        </w:rPr>
        <w:t xml:space="preserve"> ה</w:t>
      </w:r>
      <w:r w:rsidR="008B270F" w:rsidRPr="006A7B92">
        <w:rPr>
          <w:rFonts w:asciiTheme="majorBidi" w:hAnsiTheme="majorBidi" w:cstheme="majorBidi"/>
          <w:b/>
          <w:bCs/>
          <w:sz w:val="24"/>
          <w:szCs w:val="24"/>
          <w:rtl/>
        </w:rPr>
        <w:t>רשב"א ו</w:t>
      </w:r>
      <w:r w:rsidR="008F157B">
        <w:rPr>
          <w:rFonts w:asciiTheme="majorBidi" w:hAnsiTheme="majorBidi" w:cstheme="majorBidi" w:hint="cs"/>
          <w:b/>
          <w:bCs/>
          <w:sz w:val="24"/>
          <w:szCs w:val="24"/>
          <w:rtl/>
        </w:rPr>
        <w:t>ה</w:t>
      </w:r>
      <w:r w:rsidR="008B270F" w:rsidRPr="006A7B92">
        <w:rPr>
          <w:rFonts w:asciiTheme="majorBidi" w:hAnsiTheme="majorBidi" w:cstheme="majorBidi"/>
          <w:b/>
          <w:bCs/>
          <w:sz w:val="24"/>
          <w:szCs w:val="24"/>
          <w:rtl/>
        </w:rPr>
        <w:t>ר"ן</w:t>
      </w:r>
    </w:p>
    <w:p w:rsidR="00F21C46" w:rsidRPr="006A7B92" w:rsidRDefault="00CD52B8" w:rsidP="008F157B">
      <w:pPr>
        <w:jc w:val="both"/>
        <w:rPr>
          <w:rFonts w:asciiTheme="majorBidi" w:hAnsiTheme="majorBidi" w:cstheme="majorBidi"/>
          <w:sz w:val="24"/>
          <w:szCs w:val="24"/>
          <w:rtl/>
        </w:rPr>
      </w:pPr>
      <w:r w:rsidRPr="006A7B92">
        <w:rPr>
          <w:rFonts w:asciiTheme="majorBidi" w:hAnsiTheme="majorBidi" w:cstheme="majorBidi"/>
          <w:sz w:val="24"/>
          <w:szCs w:val="24"/>
          <w:rtl/>
        </w:rPr>
        <w:t xml:space="preserve">הנה העמידו הראשונים, שאף שמבואר בברייתא שבלקח מהחנות הוי קבוע. ישנו מקרה שבו התעורר הספק אחר הלקיחה, ובכה"ג אפשר ללכת אחר הרוב.    ושני מקורות מצאנו </w:t>
      </w:r>
      <w:r w:rsidRPr="006A7B92">
        <w:rPr>
          <w:rFonts w:asciiTheme="majorBidi" w:hAnsiTheme="majorBidi" w:cstheme="majorBidi"/>
          <w:sz w:val="24"/>
          <w:szCs w:val="24"/>
          <w:rtl/>
        </w:rPr>
        <w:lastRenderedPageBreak/>
        <w:t>בראשונים להעמדה זו. הא', הרשב"א בתורת הבית</w:t>
      </w:r>
      <w:r w:rsidR="008F157B">
        <w:rPr>
          <w:rFonts w:asciiTheme="majorBidi" w:hAnsiTheme="majorBidi" w:cstheme="majorBidi" w:hint="cs"/>
          <w:sz w:val="24"/>
          <w:szCs w:val="24"/>
          <w:rtl/>
        </w:rPr>
        <w:t xml:space="preserve"> (ב"ד ש"ב ל</w:t>
      </w:r>
      <w:r w:rsidRPr="006A7B92">
        <w:rPr>
          <w:rFonts w:asciiTheme="majorBidi" w:hAnsiTheme="majorBidi" w:cstheme="majorBidi"/>
          <w:sz w:val="24"/>
          <w:szCs w:val="24"/>
          <w:rtl/>
        </w:rPr>
        <w:t>.</w:t>
      </w:r>
      <w:r w:rsidR="008F157B">
        <w:rPr>
          <w:rFonts w:asciiTheme="majorBidi" w:hAnsiTheme="majorBidi" w:cstheme="majorBidi" w:hint="cs"/>
          <w:sz w:val="24"/>
          <w:szCs w:val="24"/>
          <w:rtl/>
        </w:rPr>
        <w:t>).</w:t>
      </w:r>
      <w:r w:rsidRPr="006A7B92">
        <w:rPr>
          <w:rFonts w:asciiTheme="majorBidi" w:hAnsiTheme="majorBidi" w:cstheme="majorBidi"/>
          <w:sz w:val="24"/>
          <w:szCs w:val="24"/>
          <w:rtl/>
        </w:rPr>
        <w:t xml:space="preserve"> הב', הר"ן על הרי"ף בחולין</w:t>
      </w:r>
      <w:r w:rsidR="008F157B">
        <w:rPr>
          <w:rFonts w:asciiTheme="majorBidi" w:hAnsiTheme="majorBidi" w:cstheme="majorBidi" w:hint="cs"/>
          <w:sz w:val="24"/>
          <w:szCs w:val="24"/>
          <w:rtl/>
        </w:rPr>
        <w:t xml:space="preserve"> (על הגמ' צ"ה.)</w:t>
      </w:r>
      <w:r w:rsidRPr="006A7B92">
        <w:rPr>
          <w:rFonts w:asciiTheme="majorBidi" w:hAnsiTheme="majorBidi" w:cstheme="majorBidi"/>
          <w:sz w:val="24"/>
          <w:szCs w:val="24"/>
          <w:rtl/>
        </w:rPr>
        <w:t xml:space="preserve">, בשם התוס'.   ואף שכוונו שניהם לאותו דין – סברותיהם שונות לגמרי.  הסבר הרשב"א להיתר זה הוא, שכיון שהספק התעורר לאחר הפרישה, הרי שבשעת ההסתפקות, הבשר כבר לא היה קבוע. </w:t>
      </w:r>
      <w:r w:rsidR="008B270F" w:rsidRPr="006A7B92">
        <w:rPr>
          <w:rFonts w:asciiTheme="majorBidi" w:hAnsiTheme="majorBidi" w:cstheme="majorBidi"/>
          <w:sz w:val="24"/>
          <w:szCs w:val="24"/>
          <w:rtl/>
        </w:rPr>
        <w:t>[</w:t>
      </w:r>
      <w:r w:rsidRPr="006A7B92">
        <w:rPr>
          <w:rFonts w:asciiTheme="majorBidi" w:hAnsiTheme="majorBidi" w:cstheme="majorBidi"/>
          <w:sz w:val="24"/>
          <w:szCs w:val="24"/>
          <w:rtl/>
        </w:rPr>
        <w:t>ונראה מדברי הרשב"א, שנקודה זו היא גוף החילוק בין לקח לנמצא</w:t>
      </w:r>
      <w:r w:rsidR="008B270F" w:rsidRPr="006A7B92">
        <w:rPr>
          <w:rFonts w:asciiTheme="majorBidi" w:hAnsiTheme="majorBidi" w:cstheme="majorBidi"/>
          <w:sz w:val="24"/>
          <w:szCs w:val="24"/>
          <w:rtl/>
        </w:rPr>
        <w:t>. דבלקח התעוררות הספק היא בשעה שהבשר עדיין קבוע, משא"כ בנמצא.]  ואילו בדברי הר"ן מבואר הסבר אחר. והוא, שהא מילתא דפשיטא, שכל עוד לא נודע האיסור, אין להגדיר את החנויות כקבוע. וממילא הלקיחה לא היתה מהקבוע. ומבואר בר"ן שפליג על סברת הרשב"א, דאף שהספק נולד בשעה שהבשר כבר פרוש, סו"ס הספק הוא על שעת הלקיחה. אלא שמחדש שלעולם מוגדר הלקיחה שלא מהקבוע (כיון שקבוע חידוש הוא ואין לך בו אלא חידושו).</w:t>
      </w:r>
      <w:r w:rsidR="00394D01">
        <w:rPr>
          <w:rFonts w:asciiTheme="majorBidi" w:hAnsiTheme="majorBidi" w:cstheme="majorBidi" w:hint="cs"/>
          <w:sz w:val="24"/>
          <w:szCs w:val="24"/>
          <w:rtl/>
        </w:rPr>
        <w:t xml:space="preserve"> [ובאופן שלפי הרשב"א סברת היתר זה היא כסברת היתר </w:t>
      </w:r>
      <w:r w:rsidR="00294BEA">
        <w:rPr>
          <w:rFonts w:asciiTheme="majorBidi" w:hAnsiTheme="majorBidi" w:cstheme="majorBidi" w:hint="cs"/>
          <w:sz w:val="24"/>
          <w:szCs w:val="24"/>
          <w:rtl/>
        </w:rPr>
        <w:t>'</w:t>
      </w:r>
      <w:r w:rsidR="00394D01">
        <w:rPr>
          <w:rFonts w:asciiTheme="majorBidi" w:hAnsiTheme="majorBidi" w:cstheme="majorBidi" w:hint="cs"/>
          <w:sz w:val="24"/>
          <w:szCs w:val="24"/>
          <w:rtl/>
        </w:rPr>
        <w:t>נמצא</w:t>
      </w:r>
      <w:r w:rsidR="00294BEA">
        <w:rPr>
          <w:rFonts w:asciiTheme="majorBidi" w:hAnsiTheme="majorBidi" w:cstheme="majorBidi" w:hint="cs"/>
          <w:sz w:val="24"/>
          <w:szCs w:val="24"/>
          <w:rtl/>
        </w:rPr>
        <w:t>'</w:t>
      </w:r>
      <w:bookmarkStart w:id="0" w:name="_GoBack"/>
      <w:bookmarkEnd w:id="0"/>
      <w:r w:rsidR="00394D01">
        <w:rPr>
          <w:rFonts w:asciiTheme="majorBidi" w:hAnsiTheme="majorBidi" w:cstheme="majorBidi" w:hint="cs"/>
          <w:sz w:val="24"/>
          <w:szCs w:val="24"/>
          <w:rtl/>
        </w:rPr>
        <w:t>. ואילו לפי הר"ן היא סברא אחרת, כאילו אין בנידון דידן שום דבר קבוע.]</w:t>
      </w:r>
    </w:p>
    <w:p w:rsidR="008B270F" w:rsidRPr="006A7B92" w:rsidRDefault="008B270F" w:rsidP="008F157B">
      <w:pPr>
        <w:jc w:val="both"/>
        <w:rPr>
          <w:rFonts w:asciiTheme="majorBidi" w:hAnsiTheme="majorBidi" w:cstheme="majorBidi"/>
          <w:sz w:val="24"/>
          <w:szCs w:val="24"/>
          <w:rtl/>
        </w:rPr>
      </w:pPr>
    </w:p>
    <w:p w:rsidR="008B270F" w:rsidRPr="006A7B92" w:rsidRDefault="008B270F" w:rsidP="008F157B">
      <w:pPr>
        <w:jc w:val="both"/>
        <w:rPr>
          <w:rFonts w:asciiTheme="majorBidi" w:hAnsiTheme="majorBidi" w:cstheme="majorBidi"/>
          <w:b/>
          <w:bCs/>
          <w:sz w:val="24"/>
          <w:szCs w:val="24"/>
          <w:rtl/>
        </w:rPr>
      </w:pPr>
      <w:r w:rsidRPr="006A7B92">
        <w:rPr>
          <w:rFonts w:asciiTheme="majorBidi" w:hAnsiTheme="majorBidi" w:cstheme="majorBidi"/>
          <w:b/>
          <w:bCs/>
          <w:sz w:val="24"/>
          <w:szCs w:val="24"/>
          <w:rtl/>
        </w:rPr>
        <w:t>ג, דברי</w:t>
      </w:r>
      <w:r w:rsidR="008F157B">
        <w:rPr>
          <w:rFonts w:asciiTheme="majorBidi" w:hAnsiTheme="majorBidi" w:cstheme="majorBidi"/>
          <w:b/>
          <w:bCs/>
          <w:sz w:val="24"/>
          <w:szCs w:val="24"/>
          <w:rtl/>
        </w:rPr>
        <w:t xml:space="preserve"> הרא"ה </w:t>
      </w:r>
    </w:p>
    <w:p w:rsidR="008F157B" w:rsidRDefault="008F157B" w:rsidP="008F157B">
      <w:pPr>
        <w:jc w:val="both"/>
        <w:rPr>
          <w:rFonts w:asciiTheme="majorBidi" w:hAnsiTheme="majorBidi" w:cstheme="majorBidi"/>
          <w:sz w:val="24"/>
          <w:szCs w:val="24"/>
          <w:rtl/>
        </w:rPr>
      </w:pPr>
      <w:r>
        <w:rPr>
          <w:rFonts w:asciiTheme="majorBidi" w:hAnsiTheme="majorBidi" w:cstheme="majorBidi" w:hint="cs"/>
          <w:sz w:val="24"/>
          <w:szCs w:val="24"/>
          <w:rtl/>
        </w:rPr>
        <w:t>והנה הרא"ה השיג בנקודה מסויימת על הרשב"א,  והסכים עמו הרשב"א במשה"ב. וישנן שתי הבנות בדברי הרא"ה:</w:t>
      </w:r>
    </w:p>
    <w:p w:rsidR="008B270F" w:rsidRPr="006A7B92" w:rsidRDefault="008F157B" w:rsidP="008F157B">
      <w:pPr>
        <w:jc w:val="both"/>
        <w:rPr>
          <w:rFonts w:asciiTheme="majorBidi" w:hAnsiTheme="majorBidi" w:cstheme="majorBidi"/>
          <w:sz w:val="24"/>
          <w:szCs w:val="24"/>
          <w:rtl/>
        </w:rPr>
      </w:pPr>
      <w:r>
        <w:rPr>
          <w:rFonts w:asciiTheme="majorBidi" w:hAnsiTheme="majorBidi" w:cstheme="majorBidi" w:hint="cs"/>
          <w:sz w:val="24"/>
          <w:szCs w:val="24"/>
          <w:rtl/>
        </w:rPr>
        <w:t xml:space="preserve">הבנת המשה"ב </w:t>
      </w:r>
      <w:r w:rsidR="006B7272">
        <w:rPr>
          <w:rFonts w:asciiTheme="majorBidi" w:hAnsiTheme="majorBidi" w:cstheme="majorBidi" w:hint="cs"/>
          <w:sz w:val="24"/>
          <w:szCs w:val="24"/>
          <w:rtl/>
        </w:rPr>
        <w:t>ב</w:t>
      </w:r>
      <w:r w:rsidR="001D0207">
        <w:rPr>
          <w:rFonts w:asciiTheme="majorBidi" w:hAnsiTheme="majorBidi" w:cstheme="majorBidi" w:hint="cs"/>
          <w:sz w:val="24"/>
          <w:szCs w:val="24"/>
          <w:rtl/>
        </w:rPr>
        <w:t>'ש</w:t>
      </w:r>
      <w:r>
        <w:rPr>
          <w:rFonts w:asciiTheme="majorBidi" w:hAnsiTheme="majorBidi" w:cstheme="majorBidi" w:hint="cs"/>
          <w:sz w:val="24"/>
          <w:szCs w:val="24"/>
          <w:rtl/>
        </w:rPr>
        <w:t>דברי הרא"ה, כפי מה שביאר הפר"ח היא, שהרא"ה טען שהגדרת '</w:t>
      </w:r>
      <w:r w:rsidR="008B270F" w:rsidRPr="006A7B92">
        <w:rPr>
          <w:rFonts w:asciiTheme="majorBidi" w:hAnsiTheme="majorBidi" w:cstheme="majorBidi"/>
          <w:sz w:val="24"/>
          <w:szCs w:val="24"/>
          <w:rtl/>
        </w:rPr>
        <w:t>שעת לידת הספק</w:t>
      </w:r>
      <w:r>
        <w:rPr>
          <w:rFonts w:asciiTheme="majorBidi" w:hAnsiTheme="majorBidi" w:cstheme="majorBidi" w:hint="cs"/>
          <w:sz w:val="24"/>
          <w:szCs w:val="24"/>
          <w:rtl/>
        </w:rPr>
        <w:t>'</w:t>
      </w:r>
      <w:r w:rsidR="008B270F" w:rsidRPr="006A7B92">
        <w:rPr>
          <w:rFonts w:asciiTheme="majorBidi" w:hAnsiTheme="majorBidi" w:cstheme="majorBidi"/>
          <w:sz w:val="24"/>
          <w:szCs w:val="24"/>
          <w:rtl/>
        </w:rPr>
        <w:t xml:space="preserve"> אינה נקבעת לפי הידיעה של האדם הפרטי, אלא לפי מה שהיה מוחזק לכלל הציבור. והסכים הרשב"א עם טענה זו.</w:t>
      </w:r>
    </w:p>
    <w:p w:rsidR="008B270F" w:rsidRPr="006A7B92" w:rsidRDefault="008F157B" w:rsidP="008F157B">
      <w:pPr>
        <w:jc w:val="both"/>
        <w:rPr>
          <w:rFonts w:asciiTheme="majorBidi" w:hAnsiTheme="majorBidi" w:cstheme="majorBidi"/>
          <w:sz w:val="24"/>
          <w:szCs w:val="24"/>
          <w:rtl/>
        </w:rPr>
      </w:pPr>
      <w:r>
        <w:rPr>
          <w:rFonts w:asciiTheme="majorBidi" w:hAnsiTheme="majorBidi" w:cstheme="majorBidi" w:hint="cs"/>
          <w:sz w:val="24"/>
          <w:szCs w:val="24"/>
          <w:rtl/>
        </w:rPr>
        <w:t>אמנם בדברי הרא"ה עצמם קשה מאוד להכניס הבנה זו, ופשטות דברי הרא"ה שבא לטעון ש</w:t>
      </w:r>
      <w:r w:rsidR="008B270F" w:rsidRPr="006A7B92">
        <w:rPr>
          <w:rFonts w:asciiTheme="majorBidi" w:hAnsiTheme="majorBidi" w:cstheme="majorBidi"/>
          <w:sz w:val="24"/>
          <w:szCs w:val="24"/>
          <w:rtl/>
        </w:rPr>
        <w:t xml:space="preserve">גם אם הספק נולד בפועל </w:t>
      </w:r>
      <w:r>
        <w:rPr>
          <w:rFonts w:asciiTheme="majorBidi" w:hAnsiTheme="majorBidi" w:cstheme="majorBidi"/>
          <w:sz w:val="24"/>
          <w:szCs w:val="24"/>
          <w:rtl/>
        </w:rPr>
        <w:t>–</w:t>
      </w:r>
      <w:r>
        <w:rPr>
          <w:rFonts w:asciiTheme="majorBidi" w:hAnsiTheme="majorBidi" w:cstheme="majorBidi" w:hint="cs"/>
          <w:sz w:val="24"/>
          <w:szCs w:val="24"/>
          <w:rtl/>
        </w:rPr>
        <w:t xml:space="preserve"> לכלל הציבור </w:t>
      </w:r>
      <w:r>
        <w:rPr>
          <w:rFonts w:asciiTheme="majorBidi" w:hAnsiTheme="majorBidi" w:cstheme="majorBidi"/>
          <w:sz w:val="24"/>
          <w:szCs w:val="24"/>
          <w:rtl/>
        </w:rPr>
        <w:t>–</w:t>
      </w:r>
      <w:r>
        <w:rPr>
          <w:rFonts w:asciiTheme="majorBidi" w:hAnsiTheme="majorBidi" w:cstheme="majorBidi" w:hint="cs"/>
          <w:sz w:val="24"/>
          <w:szCs w:val="24"/>
          <w:rtl/>
        </w:rPr>
        <w:t xml:space="preserve"> </w:t>
      </w:r>
      <w:r w:rsidR="008B270F" w:rsidRPr="006A7B92">
        <w:rPr>
          <w:rFonts w:asciiTheme="majorBidi" w:hAnsiTheme="majorBidi" w:cstheme="majorBidi"/>
          <w:sz w:val="24"/>
          <w:szCs w:val="24"/>
          <w:rtl/>
        </w:rPr>
        <w:t xml:space="preserve">רק לאחר שכבר פירשה הבשר, במקרים מסויימים הרי זה נחשב שנולד הספק כבר בשעת הלקיחה, כאשר הספק הוא מצד ברירת החנויות.  ויש צד להבין שדברי הרא"ה אמורים רק לגבי מקרה </w:t>
      </w:r>
      <w:r w:rsidR="008B270F" w:rsidRPr="006A7B92">
        <w:rPr>
          <w:rFonts w:asciiTheme="majorBidi" w:hAnsiTheme="majorBidi" w:cstheme="majorBidi"/>
          <w:sz w:val="24"/>
          <w:szCs w:val="24"/>
          <w:rtl/>
        </w:rPr>
        <w:lastRenderedPageBreak/>
        <w:t>שנודע איזו חנות מוכרת טריפה, אלא שהלוקח שכח מהיכן לקח. ויש צד להבין שגם במקרה שלא נודע איזו חנות מכרה טריפה, אבל ידוע שחנות מסויימת מכרה טריפה, גם אז סובר הרא"ה שנחשב הספק בשעת הלקיחה.  ולגבי המקרה השני הנ"ל, הוכיח הש"ך מדברי הרמ"א וסיעתו שהם סבירא להו שגם בכזה מקרה נחשב שנולד הספק לאחר הלקיחה ומותר.  ועוד כתב הש"ך שלסברת הר"ן, אין שום חילוק, ובכל מקרה יהיה את ההיתר של לקיחה קודם שנולד הספק (שהרי</w:t>
      </w:r>
      <w:r w:rsidR="00FC5B05" w:rsidRPr="006A7B92">
        <w:rPr>
          <w:rFonts w:asciiTheme="majorBidi" w:hAnsiTheme="majorBidi" w:cstheme="majorBidi"/>
          <w:sz w:val="24"/>
          <w:szCs w:val="24"/>
          <w:rtl/>
        </w:rPr>
        <w:t xml:space="preserve"> סו"ס בשעת הלקיחה לא נודע האיסור, וממילא לא היתה לקיחה מהקבוע).</w:t>
      </w:r>
    </w:p>
    <w:p w:rsidR="00FC5B05" w:rsidRPr="006A7B92" w:rsidRDefault="00FC5B05" w:rsidP="008F157B">
      <w:pPr>
        <w:jc w:val="both"/>
        <w:rPr>
          <w:rFonts w:asciiTheme="majorBidi" w:hAnsiTheme="majorBidi" w:cstheme="majorBidi"/>
          <w:sz w:val="24"/>
          <w:szCs w:val="24"/>
          <w:rtl/>
        </w:rPr>
      </w:pPr>
    </w:p>
    <w:p w:rsidR="00FC5B05" w:rsidRPr="006A7B92" w:rsidRDefault="00FC5B05" w:rsidP="008F157B">
      <w:pPr>
        <w:jc w:val="both"/>
        <w:rPr>
          <w:rFonts w:asciiTheme="majorBidi" w:hAnsiTheme="majorBidi" w:cstheme="majorBidi"/>
          <w:b/>
          <w:bCs/>
          <w:sz w:val="24"/>
          <w:szCs w:val="24"/>
          <w:rtl/>
        </w:rPr>
      </w:pPr>
      <w:r w:rsidRPr="006A7B92">
        <w:rPr>
          <w:rFonts w:asciiTheme="majorBidi" w:hAnsiTheme="majorBidi" w:cstheme="majorBidi"/>
          <w:b/>
          <w:bCs/>
          <w:sz w:val="24"/>
          <w:szCs w:val="24"/>
          <w:rtl/>
        </w:rPr>
        <w:t>ה, קבוע דאורייתא ודרבנן</w:t>
      </w:r>
    </w:p>
    <w:p w:rsidR="00FC5B05" w:rsidRPr="006A7B92" w:rsidRDefault="00FC5B05" w:rsidP="008F157B">
      <w:pPr>
        <w:jc w:val="both"/>
        <w:rPr>
          <w:rFonts w:asciiTheme="majorBidi" w:hAnsiTheme="majorBidi" w:cstheme="majorBidi"/>
          <w:sz w:val="24"/>
          <w:szCs w:val="24"/>
          <w:rtl/>
        </w:rPr>
      </w:pPr>
      <w:r w:rsidRPr="006A7B92">
        <w:rPr>
          <w:rFonts w:asciiTheme="majorBidi" w:hAnsiTheme="majorBidi" w:cstheme="majorBidi"/>
          <w:sz w:val="24"/>
          <w:szCs w:val="24"/>
          <w:rtl/>
        </w:rPr>
        <w:t xml:space="preserve">והנה בכל דברי הראשונים הנ"ל וכן בדברי הש"ך, לא הוזכרה שום אבחנה של קבוע דאורייתא או דרבנן, ולא נראה כלל שישנו מושג של קבוע דרבנן, ועכ"פ ודאי לא נראה שבזה נעוץ החילוק בין נודע הספק קודם הלקיחה לנודע אחר הלקיחה. אבל בדברי הפר"ח </w:t>
      </w:r>
      <w:r w:rsidR="008F157B">
        <w:rPr>
          <w:rFonts w:asciiTheme="majorBidi" w:hAnsiTheme="majorBidi" w:cstheme="majorBidi" w:hint="cs"/>
          <w:sz w:val="24"/>
          <w:szCs w:val="24"/>
          <w:rtl/>
        </w:rPr>
        <w:t xml:space="preserve">(סקי"ג) </w:t>
      </w:r>
      <w:r w:rsidRPr="006A7B92">
        <w:rPr>
          <w:rFonts w:asciiTheme="majorBidi" w:hAnsiTheme="majorBidi" w:cstheme="majorBidi"/>
          <w:sz w:val="24"/>
          <w:szCs w:val="24"/>
          <w:rtl/>
        </w:rPr>
        <w:t>הפמ"ג</w:t>
      </w:r>
      <w:r w:rsidR="008F157B">
        <w:rPr>
          <w:rFonts w:asciiTheme="majorBidi" w:hAnsiTheme="majorBidi" w:cstheme="majorBidi" w:hint="cs"/>
          <w:sz w:val="24"/>
          <w:szCs w:val="24"/>
          <w:rtl/>
        </w:rPr>
        <w:t xml:space="preserve"> (ש"ד י"ד)</w:t>
      </w:r>
      <w:r w:rsidRPr="006A7B92">
        <w:rPr>
          <w:rFonts w:asciiTheme="majorBidi" w:hAnsiTheme="majorBidi" w:cstheme="majorBidi"/>
          <w:sz w:val="24"/>
          <w:szCs w:val="24"/>
          <w:rtl/>
        </w:rPr>
        <w:t xml:space="preserve"> החוו"ד </w:t>
      </w:r>
      <w:r w:rsidR="008F157B">
        <w:rPr>
          <w:rFonts w:asciiTheme="majorBidi" w:hAnsiTheme="majorBidi" w:cstheme="majorBidi" w:hint="cs"/>
          <w:sz w:val="24"/>
          <w:szCs w:val="24"/>
          <w:rtl/>
        </w:rPr>
        <w:t xml:space="preserve">(סק"ג) </w:t>
      </w:r>
      <w:r w:rsidRPr="006A7B92">
        <w:rPr>
          <w:rFonts w:asciiTheme="majorBidi" w:hAnsiTheme="majorBidi" w:cstheme="majorBidi"/>
          <w:sz w:val="24"/>
          <w:szCs w:val="24"/>
          <w:rtl/>
        </w:rPr>
        <w:t>היד אברהם</w:t>
      </w:r>
      <w:r w:rsidR="008F157B">
        <w:rPr>
          <w:rFonts w:asciiTheme="majorBidi" w:hAnsiTheme="majorBidi" w:cstheme="majorBidi" w:hint="cs"/>
          <w:sz w:val="24"/>
          <w:szCs w:val="24"/>
          <w:rtl/>
        </w:rPr>
        <w:t xml:space="preserve"> (על הש"ך סקי"ד)</w:t>
      </w:r>
      <w:r w:rsidRPr="006A7B92">
        <w:rPr>
          <w:rFonts w:asciiTheme="majorBidi" w:hAnsiTheme="majorBidi" w:cstheme="majorBidi"/>
          <w:sz w:val="24"/>
          <w:szCs w:val="24"/>
          <w:rtl/>
        </w:rPr>
        <w:t>, מבואר שקראו את כל הדברים הנ"ל כאילו זה כל החילוק, בין קבוע דאורייתא לדרבנן, וע"פ יסודם של התוס' שכשהאיסור אינו ניכר, אינו קבוע דאורייתא.  וצ"ע טובא מדוע ראו להסביר כך את הדברים, כאשר לפי הבנתנו הקלושה אין לכך שום מקור.  [ובכלל, צ"ע האם יסודם של התוס' שקבוע דאורייתא הוא רק בניכר האיסור, האם מוסכם הוא על שאר הראשונים שלא הזכירוהו כלל.]  ועי' בבית מאיר שחלק שאין החילוק בין קבוע דאורייתא לדרבנן.</w:t>
      </w:r>
    </w:p>
    <w:p w:rsidR="00FC5B05" w:rsidRPr="006A7B92" w:rsidRDefault="00FC5B05" w:rsidP="008F157B">
      <w:pPr>
        <w:jc w:val="both"/>
        <w:rPr>
          <w:rFonts w:asciiTheme="majorBidi" w:hAnsiTheme="majorBidi" w:cstheme="majorBidi"/>
          <w:sz w:val="24"/>
          <w:szCs w:val="24"/>
          <w:rtl/>
        </w:rPr>
      </w:pPr>
    </w:p>
    <w:p w:rsidR="00FC5B05" w:rsidRPr="006A7B92" w:rsidRDefault="00FC5B05" w:rsidP="008F157B">
      <w:pPr>
        <w:jc w:val="both"/>
        <w:rPr>
          <w:rFonts w:asciiTheme="majorBidi" w:hAnsiTheme="majorBidi" w:cstheme="majorBidi"/>
          <w:b/>
          <w:bCs/>
          <w:sz w:val="24"/>
          <w:szCs w:val="24"/>
          <w:rtl/>
        </w:rPr>
      </w:pPr>
      <w:r w:rsidRPr="006A7B92">
        <w:rPr>
          <w:rFonts w:asciiTheme="majorBidi" w:hAnsiTheme="majorBidi" w:cstheme="majorBidi"/>
          <w:b/>
          <w:bCs/>
          <w:sz w:val="24"/>
          <w:szCs w:val="24"/>
          <w:rtl/>
        </w:rPr>
        <w:t>ו, ביטול ברוב</w:t>
      </w:r>
    </w:p>
    <w:p w:rsidR="007C14B8" w:rsidRPr="006A7B92" w:rsidRDefault="00FC5B05" w:rsidP="008F157B">
      <w:pPr>
        <w:jc w:val="both"/>
        <w:rPr>
          <w:rFonts w:asciiTheme="majorBidi" w:hAnsiTheme="majorBidi" w:cstheme="majorBidi"/>
          <w:sz w:val="24"/>
          <w:szCs w:val="24"/>
          <w:rtl/>
        </w:rPr>
      </w:pPr>
      <w:r w:rsidRPr="006A7B92">
        <w:rPr>
          <w:rFonts w:asciiTheme="majorBidi" w:hAnsiTheme="majorBidi" w:cstheme="majorBidi"/>
          <w:sz w:val="24"/>
          <w:szCs w:val="24"/>
          <w:rtl/>
        </w:rPr>
        <w:t>הנה בציור החדש שצייר הרשב"א, שאין ידוע איזו החנות שמוכרת בשר טריפה, נפתח פתח להיתר חדש, הלא הוא ביטול ברוב, כל שאין החתיכות ראויות להתכבד.  והיינו, שבמקרה שהחנויות ידועות, אין במה לבטל את החתיכה, כיון שהאיסור וההיתר ניכרים במקומם</w:t>
      </w:r>
      <w:r w:rsidR="006B716C">
        <w:rPr>
          <w:rFonts w:asciiTheme="majorBidi" w:hAnsiTheme="majorBidi" w:cstheme="majorBidi" w:hint="cs"/>
          <w:sz w:val="24"/>
          <w:szCs w:val="24"/>
          <w:rtl/>
        </w:rPr>
        <w:t xml:space="preserve"> [ועי' לשון הרא"ש שהביא הב"י בריש סעיף ג', וכן לשון הרשב"א שהביא הב"י שם בד"ה ומ"ש כגון תשע חנויות].</w:t>
      </w:r>
      <w:r w:rsidRPr="006A7B92">
        <w:rPr>
          <w:rFonts w:asciiTheme="majorBidi" w:hAnsiTheme="majorBidi" w:cstheme="majorBidi"/>
          <w:sz w:val="24"/>
          <w:szCs w:val="24"/>
          <w:rtl/>
        </w:rPr>
        <w:t xml:space="preserve"> משא"כ בציור הרשב"א, שיש כאן תערובת של חתיכות כשרות וטריפות שאינן </w:t>
      </w:r>
      <w:r w:rsidRPr="006A7B92">
        <w:rPr>
          <w:rFonts w:asciiTheme="majorBidi" w:hAnsiTheme="majorBidi" w:cstheme="majorBidi"/>
          <w:sz w:val="24"/>
          <w:szCs w:val="24"/>
          <w:rtl/>
        </w:rPr>
        <w:lastRenderedPageBreak/>
        <w:t>מזוהות. ולכן כתב הרשב"א שכל שאין החתיכו</w:t>
      </w:r>
      <w:r w:rsidR="007C14B8" w:rsidRPr="006A7B92">
        <w:rPr>
          <w:rFonts w:asciiTheme="majorBidi" w:hAnsiTheme="majorBidi" w:cstheme="majorBidi"/>
          <w:sz w:val="24"/>
          <w:szCs w:val="24"/>
          <w:rtl/>
        </w:rPr>
        <w:t>ת ראויות להתכבד יהיה כאן ביטול ברוב, גם על אלו שנלקחו מהחנויות לאחר שכבר נודע הספק.</w:t>
      </w:r>
    </w:p>
    <w:p w:rsidR="00D9317C" w:rsidRPr="006A7B92" w:rsidRDefault="007C14B8" w:rsidP="008F157B">
      <w:pPr>
        <w:jc w:val="both"/>
        <w:rPr>
          <w:rFonts w:asciiTheme="majorBidi" w:hAnsiTheme="majorBidi" w:cstheme="majorBidi"/>
          <w:sz w:val="24"/>
          <w:szCs w:val="24"/>
          <w:rtl/>
        </w:rPr>
      </w:pPr>
      <w:r w:rsidRPr="006A7B92">
        <w:rPr>
          <w:rFonts w:asciiTheme="majorBidi" w:hAnsiTheme="majorBidi" w:cstheme="majorBidi"/>
          <w:sz w:val="24"/>
          <w:szCs w:val="24"/>
          <w:rtl/>
        </w:rPr>
        <w:t>והנה הטור פליג על הרשב"א</w:t>
      </w:r>
      <w:r w:rsidR="006B716C">
        <w:rPr>
          <w:rFonts w:asciiTheme="majorBidi" w:hAnsiTheme="majorBidi" w:cstheme="majorBidi" w:hint="cs"/>
          <w:sz w:val="24"/>
          <w:szCs w:val="24"/>
          <w:rtl/>
        </w:rPr>
        <w:t>, דאין להתיר מחמת ביטול ברוב</w:t>
      </w:r>
      <w:r w:rsidRPr="006A7B92">
        <w:rPr>
          <w:rFonts w:asciiTheme="majorBidi" w:hAnsiTheme="majorBidi" w:cstheme="majorBidi"/>
          <w:sz w:val="24"/>
          <w:szCs w:val="24"/>
          <w:rtl/>
        </w:rPr>
        <w:t xml:space="preserve"> ולא נתברר טעמו. וביארו הדרכ"מ</w:t>
      </w:r>
      <w:r w:rsidR="006B716C">
        <w:rPr>
          <w:rFonts w:asciiTheme="majorBidi" w:hAnsiTheme="majorBidi" w:cstheme="majorBidi" w:hint="cs"/>
          <w:sz w:val="24"/>
          <w:szCs w:val="24"/>
          <w:rtl/>
        </w:rPr>
        <w:t xml:space="preserve"> (אות ו')</w:t>
      </w:r>
      <w:r w:rsidRPr="006A7B92">
        <w:rPr>
          <w:rFonts w:asciiTheme="majorBidi" w:hAnsiTheme="majorBidi" w:cstheme="majorBidi"/>
          <w:sz w:val="24"/>
          <w:szCs w:val="24"/>
          <w:rtl/>
        </w:rPr>
        <w:t xml:space="preserve"> הדרישה</w:t>
      </w:r>
      <w:r w:rsidR="006B716C">
        <w:rPr>
          <w:rFonts w:asciiTheme="majorBidi" w:hAnsiTheme="majorBidi" w:cstheme="majorBidi" w:hint="cs"/>
          <w:sz w:val="24"/>
          <w:szCs w:val="24"/>
          <w:rtl/>
        </w:rPr>
        <w:t xml:space="preserve"> (אות ד*)</w:t>
      </w:r>
      <w:r w:rsidRPr="006A7B92">
        <w:rPr>
          <w:rFonts w:asciiTheme="majorBidi" w:hAnsiTheme="majorBidi" w:cstheme="majorBidi"/>
          <w:sz w:val="24"/>
          <w:szCs w:val="24"/>
          <w:rtl/>
        </w:rPr>
        <w:t xml:space="preserve"> והב"ח</w:t>
      </w:r>
      <w:r w:rsidR="006B716C">
        <w:rPr>
          <w:rFonts w:asciiTheme="majorBidi" w:hAnsiTheme="majorBidi" w:cstheme="majorBidi" w:hint="cs"/>
          <w:sz w:val="24"/>
          <w:szCs w:val="24"/>
          <w:rtl/>
        </w:rPr>
        <w:t xml:space="preserve"> (אות ו')</w:t>
      </w:r>
      <w:r w:rsidRPr="006A7B92">
        <w:rPr>
          <w:rFonts w:asciiTheme="majorBidi" w:hAnsiTheme="majorBidi" w:cstheme="majorBidi"/>
          <w:sz w:val="24"/>
          <w:szCs w:val="24"/>
          <w:rtl/>
        </w:rPr>
        <w:t>, שבציור שהתערבו החתיכות בתוך חנות אחת, ודאי שיש ביטול ברוב. ומה שהטור פליג הוא רק במקרה שהתברר שחתיכות הטריפה נמצאים כולם בחנות אחת, ואין ידוע איזו, ובכה"ג לא שייך ביטול ברוב, והסכימו הם ז"ל עם סברת הטור. (אמנם בדברי הדרכ"מ והדרישה מבואר שהרשב"א עצמו סבר שאף בכה"ג שייך ביטול. ואילו הב"ח כתב שאף הרשב"א לא פליג בזה על הטור.)    ולכאורה דבריהם מחודשים, דהא סוף סוף יש כאן חתיכות כש</w:t>
      </w:r>
      <w:r w:rsidR="00D9317C" w:rsidRPr="006A7B92">
        <w:rPr>
          <w:rFonts w:asciiTheme="majorBidi" w:hAnsiTheme="majorBidi" w:cstheme="majorBidi"/>
          <w:sz w:val="24"/>
          <w:szCs w:val="24"/>
          <w:rtl/>
        </w:rPr>
        <w:t>רות וטרפות מעורבות, ומה לי שאינן</w:t>
      </w:r>
      <w:r w:rsidRPr="006A7B92">
        <w:rPr>
          <w:rFonts w:asciiTheme="majorBidi" w:hAnsiTheme="majorBidi" w:cstheme="majorBidi"/>
          <w:sz w:val="24"/>
          <w:szCs w:val="24"/>
          <w:rtl/>
        </w:rPr>
        <w:t xml:space="preserve"> נמ</w:t>
      </w:r>
      <w:r w:rsidR="00D9317C" w:rsidRPr="006A7B92">
        <w:rPr>
          <w:rFonts w:asciiTheme="majorBidi" w:hAnsiTheme="majorBidi" w:cstheme="majorBidi"/>
          <w:sz w:val="24"/>
          <w:szCs w:val="24"/>
          <w:rtl/>
        </w:rPr>
        <w:t>צאות</w:t>
      </w:r>
      <w:r w:rsidRPr="006A7B92">
        <w:rPr>
          <w:rFonts w:asciiTheme="majorBidi" w:hAnsiTheme="majorBidi" w:cstheme="majorBidi"/>
          <w:sz w:val="24"/>
          <w:szCs w:val="24"/>
          <w:rtl/>
        </w:rPr>
        <w:t xml:space="preserve"> בחנות אחת.   ועי' בדרישה שכתב שהחנויות הם כדבר שבמניין. ומבואר שהבינו שכיון שבשר הטריפה נמצא בחנות מסויימת, מעתה אין העמדת הספק על חתיכה בין חתיכות, אלא על חנות בין חנויות, והוא חידוש. ועי' חוו"ד סק"ג שאכן פקפק בהנחה זו, עיי"ש בדבריו הנפלאים מתי יש להעמיד את הספק על החנויות ומתי על החתיכות.  (ובדברי הב"ח נראה שס"ל שבביטול ברוב גם ביבש ביבש, צריך שיהיו החתיכות באותו מקום ולא במקומות שונים. והוא נושא גדול באחרונים, וגם בשער"י סובר כן. אך בחוו"ד הנ"ל נקט בפשיטות שאין שום תנאי של מקום אחד, וכן הוא ביד יהודה.)</w:t>
      </w:r>
      <w:r w:rsidR="00D9317C" w:rsidRPr="006A7B92">
        <w:rPr>
          <w:rFonts w:asciiTheme="majorBidi" w:hAnsiTheme="majorBidi" w:cstheme="majorBidi"/>
          <w:sz w:val="24"/>
          <w:szCs w:val="24"/>
          <w:rtl/>
        </w:rPr>
        <w:t xml:space="preserve">  ולט"ז סק"ה פשט אחר בדברי הטור, עיי"ש.</w:t>
      </w:r>
    </w:p>
    <w:p w:rsidR="00D9317C" w:rsidRPr="006A7B92" w:rsidRDefault="00D9317C" w:rsidP="008F157B">
      <w:pPr>
        <w:jc w:val="both"/>
        <w:rPr>
          <w:rFonts w:asciiTheme="majorBidi" w:hAnsiTheme="majorBidi" w:cstheme="majorBidi"/>
          <w:sz w:val="24"/>
          <w:szCs w:val="24"/>
          <w:rtl/>
        </w:rPr>
      </w:pPr>
    </w:p>
    <w:p w:rsidR="00D9317C" w:rsidRPr="006A7B92" w:rsidRDefault="00D9317C" w:rsidP="008F157B">
      <w:pPr>
        <w:jc w:val="both"/>
        <w:rPr>
          <w:rFonts w:asciiTheme="majorBidi" w:hAnsiTheme="majorBidi" w:cstheme="majorBidi"/>
          <w:b/>
          <w:bCs/>
          <w:sz w:val="24"/>
          <w:szCs w:val="24"/>
          <w:rtl/>
        </w:rPr>
      </w:pPr>
      <w:r w:rsidRPr="006A7B92">
        <w:rPr>
          <w:rFonts w:asciiTheme="majorBidi" w:hAnsiTheme="majorBidi" w:cstheme="majorBidi"/>
          <w:b/>
          <w:bCs/>
          <w:sz w:val="24"/>
          <w:szCs w:val="24"/>
          <w:rtl/>
        </w:rPr>
        <w:t>ז, גזירה שמא לא יבדילו בין חתיכות הראויות להתכבד לשאינן ראויות</w:t>
      </w:r>
    </w:p>
    <w:p w:rsidR="00D9317C" w:rsidRPr="006A7B92" w:rsidRDefault="00D9317C" w:rsidP="008F157B">
      <w:pPr>
        <w:jc w:val="both"/>
        <w:rPr>
          <w:rFonts w:asciiTheme="majorBidi" w:hAnsiTheme="majorBidi" w:cstheme="majorBidi"/>
          <w:sz w:val="24"/>
          <w:szCs w:val="24"/>
          <w:rtl/>
        </w:rPr>
      </w:pPr>
      <w:r w:rsidRPr="006A7B92">
        <w:rPr>
          <w:rFonts w:asciiTheme="majorBidi" w:hAnsiTheme="majorBidi" w:cstheme="majorBidi"/>
          <w:sz w:val="24"/>
          <w:szCs w:val="24"/>
          <w:rtl/>
        </w:rPr>
        <w:t>חידש הרשב"א שאף שמעיקר הדין יש ביטול ברוב כאשר אין החתיכות ראויות להתכבד וכנ"ל, יש להחמיר ולאסור שמא לא יידעו להבחין. וצ"ע אימתי נאמרה חומרא זו. עי' בט"ז סק"ה, ובש"ך סקל"א, ובפמ"ג שם.</w:t>
      </w:r>
    </w:p>
    <w:p w:rsidR="00D9317C" w:rsidRPr="006A7B92" w:rsidRDefault="00D9317C" w:rsidP="008F157B">
      <w:pPr>
        <w:jc w:val="both"/>
        <w:rPr>
          <w:rFonts w:asciiTheme="majorBidi" w:hAnsiTheme="majorBidi" w:cstheme="majorBidi"/>
          <w:sz w:val="24"/>
          <w:szCs w:val="24"/>
          <w:rtl/>
        </w:rPr>
      </w:pPr>
    </w:p>
    <w:p w:rsidR="00D9317C" w:rsidRPr="006A7B92" w:rsidRDefault="00D9317C" w:rsidP="008F157B">
      <w:pPr>
        <w:jc w:val="both"/>
        <w:rPr>
          <w:rFonts w:asciiTheme="majorBidi" w:hAnsiTheme="majorBidi" w:cstheme="majorBidi"/>
          <w:b/>
          <w:bCs/>
          <w:sz w:val="24"/>
          <w:szCs w:val="24"/>
          <w:rtl/>
        </w:rPr>
      </w:pPr>
      <w:r w:rsidRPr="006A7B92">
        <w:rPr>
          <w:rFonts w:asciiTheme="majorBidi" w:hAnsiTheme="majorBidi" w:cstheme="majorBidi"/>
          <w:b/>
          <w:bCs/>
          <w:sz w:val="24"/>
          <w:szCs w:val="24"/>
          <w:rtl/>
        </w:rPr>
        <w:t>ח, חלק מהחתיכות קבועות וחלק פירשו</w:t>
      </w:r>
    </w:p>
    <w:p w:rsidR="00D9317C" w:rsidRPr="006A7B92" w:rsidRDefault="00D9317C" w:rsidP="008F157B">
      <w:pPr>
        <w:jc w:val="both"/>
        <w:rPr>
          <w:rFonts w:asciiTheme="majorBidi" w:hAnsiTheme="majorBidi" w:cstheme="majorBidi"/>
          <w:sz w:val="24"/>
          <w:szCs w:val="24"/>
          <w:rtl/>
        </w:rPr>
      </w:pPr>
      <w:r w:rsidRPr="006A7B92">
        <w:rPr>
          <w:rFonts w:asciiTheme="majorBidi" w:hAnsiTheme="majorBidi" w:cstheme="majorBidi"/>
          <w:sz w:val="24"/>
          <w:szCs w:val="24"/>
          <w:rtl/>
        </w:rPr>
        <w:t xml:space="preserve">נושא גדול שדנו כאן הפוסקים, האם שייך לפסוק היתר על חתיכות מסויימות מחמת שנחשבות פרושות, בשעה שחתיכות אחרות שבהכרח דינם </w:t>
      </w:r>
      <w:r w:rsidRPr="006A7B92">
        <w:rPr>
          <w:rFonts w:asciiTheme="majorBidi" w:hAnsiTheme="majorBidi" w:cstheme="majorBidi"/>
          <w:sz w:val="24"/>
          <w:szCs w:val="24"/>
          <w:rtl/>
        </w:rPr>
        <w:lastRenderedPageBreak/>
        <w:t>שוה, הרי הן קבועות.  ראה פמ"ג משב"ז ה', פת"ש ד', ושייך גם לט"ז הנ"ל סק"ה.</w:t>
      </w:r>
    </w:p>
    <w:p w:rsidR="00D9317C" w:rsidRDefault="00D9317C" w:rsidP="008F157B">
      <w:pPr>
        <w:jc w:val="both"/>
        <w:rPr>
          <w:rtl/>
        </w:rPr>
      </w:pPr>
    </w:p>
    <w:p w:rsidR="00FC5B05" w:rsidRPr="00FC5B05" w:rsidRDefault="00FC5B05" w:rsidP="008F157B">
      <w:pPr>
        <w:jc w:val="both"/>
      </w:pPr>
      <w:r>
        <w:rPr>
          <w:rFonts w:hint="cs"/>
          <w:rtl/>
        </w:rPr>
        <w:t xml:space="preserve"> </w:t>
      </w:r>
    </w:p>
    <w:sectPr w:rsidR="00FC5B05" w:rsidRPr="00FC5B05" w:rsidSect="008F157B">
      <w:type w:val="continuous"/>
      <w:pgSz w:w="11906" w:h="16838"/>
      <w:pgMar w:top="144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35"/>
    <w:rsid w:val="000F7154"/>
    <w:rsid w:val="001D0207"/>
    <w:rsid w:val="00294BEA"/>
    <w:rsid w:val="00394D01"/>
    <w:rsid w:val="006A7B92"/>
    <w:rsid w:val="006B716C"/>
    <w:rsid w:val="006B7272"/>
    <w:rsid w:val="00766028"/>
    <w:rsid w:val="007A4835"/>
    <w:rsid w:val="007C14B8"/>
    <w:rsid w:val="008B270F"/>
    <w:rsid w:val="008D39E8"/>
    <w:rsid w:val="008F157B"/>
    <w:rsid w:val="009743F8"/>
    <w:rsid w:val="00CD52B8"/>
    <w:rsid w:val="00D9317C"/>
    <w:rsid w:val="00F21C46"/>
    <w:rsid w:val="00F25600"/>
    <w:rsid w:val="00FC5B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D5DB"/>
  <w15:chartTrackingRefBased/>
  <w15:docId w15:val="{713FD8D1-FDA6-43B6-9092-F8EBE847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B7272"/>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6B727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CF452-E17F-4E01-AEBF-C53F7252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Pages>
  <Words>1029</Words>
  <Characters>5150</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cp:lastPrinted>2021-11-08T09:48:00Z</cp:lastPrinted>
  <dcterms:created xsi:type="dcterms:W3CDTF">2021-11-08T07:42:00Z</dcterms:created>
  <dcterms:modified xsi:type="dcterms:W3CDTF">2021-11-08T11:56:00Z</dcterms:modified>
</cp:coreProperties>
</file>