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55" w:rsidRPr="009141C3" w:rsidRDefault="00C76B20" w:rsidP="009141C3">
      <w:pPr>
        <w:rPr>
          <w:rFonts w:ascii="David" w:hAnsi="David" w:cs="David"/>
          <w:rtl/>
        </w:rPr>
      </w:pPr>
      <w:r w:rsidRPr="009141C3">
        <w:rPr>
          <w:rFonts w:ascii="David" w:hAnsi="David" w:cs="David"/>
          <w:rtl/>
        </w:rPr>
        <w:t>בעזרת השם  יתברך</w:t>
      </w:r>
      <w:r w:rsidR="00FA677D" w:rsidRPr="009141C3">
        <w:rPr>
          <w:rFonts w:ascii="David" w:hAnsi="David" w:cs="David"/>
          <w:rtl/>
        </w:rPr>
        <w:t xml:space="preserve"> </w:t>
      </w:r>
    </w:p>
    <w:p w:rsidR="009141C3" w:rsidRDefault="009141C3" w:rsidP="009141C3">
      <w:pPr>
        <w:jc w:val="both"/>
        <w:rPr>
          <w:rFonts w:asciiTheme="majorBidi" w:hAnsiTheme="majorBidi" w:cstheme="majorBidi"/>
          <w:b/>
          <w:bCs/>
          <w:sz w:val="24"/>
          <w:szCs w:val="24"/>
          <w:rtl/>
        </w:rPr>
        <w:sectPr w:rsidR="009141C3" w:rsidSect="008D39E8">
          <w:pgSz w:w="11906" w:h="16838"/>
          <w:pgMar w:top="1440" w:right="1800" w:bottom="1440" w:left="1800" w:header="708" w:footer="708" w:gutter="0"/>
          <w:cols w:space="708"/>
          <w:bidi/>
          <w:rtlGutter/>
          <w:docGrid w:linePitch="360"/>
        </w:sectPr>
      </w:pPr>
    </w:p>
    <w:p w:rsidR="00C76B20" w:rsidRDefault="00C76B20" w:rsidP="009A6E34">
      <w:pPr>
        <w:jc w:val="center"/>
        <w:rPr>
          <w:rFonts w:asciiTheme="majorBidi" w:hAnsiTheme="majorBidi" w:cstheme="majorBidi"/>
          <w:b/>
          <w:bCs/>
          <w:sz w:val="28"/>
          <w:szCs w:val="28"/>
          <w:rtl/>
        </w:rPr>
      </w:pPr>
      <w:r w:rsidRPr="009141C3">
        <w:rPr>
          <w:rFonts w:asciiTheme="majorBidi" w:hAnsiTheme="majorBidi" w:cstheme="majorBidi"/>
          <w:b/>
          <w:bCs/>
          <w:sz w:val="28"/>
          <w:szCs w:val="28"/>
          <w:rtl/>
        </w:rPr>
        <w:lastRenderedPageBreak/>
        <w:t>ציונים והערות לסוגיית רוב וקבוע</w:t>
      </w:r>
    </w:p>
    <w:p w:rsidR="009141C3" w:rsidRPr="009141C3" w:rsidRDefault="009141C3" w:rsidP="009141C3">
      <w:pPr>
        <w:jc w:val="center"/>
        <w:rPr>
          <w:rFonts w:asciiTheme="majorBidi" w:hAnsiTheme="majorBidi" w:cstheme="majorBidi"/>
          <w:b/>
          <w:bCs/>
          <w:sz w:val="28"/>
          <w:szCs w:val="28"/>
          <w:rtl/>
        </w:rPr>
      </w:pPr>
    </w:p>
    <w:p w:rsidR="009141C3" w:rsidRDefault="009141C3" w:rsidP="009141C3">
      <w:pPr>
        <w:jc w:val="both"/>
        <w:rPr>
          <w:rFonts w:asciiTheme="majorBidi" w:hAnsiTheme="majorBidi" w:cstheme="majorBidi"/>
          <w:b/>
          <w:bCs/>
          <w:sz w:val="24"/>
          <w:szCs w:val="24"/>
          <w:rtl/>
        </w:rPr>
        <w:sectPr w:rsidR="009141C3" w:rsidSect="009141C3">
          <w:type w:val="continuous"/>
          <w:pgSz w:w="11906" w:h="16838"/>
          <w:pgMar w:top="1440" w:right="1800" w:bottom="1440" w:left="1800" w:header="708" w:footer="708" w:gutter="0"/>
          <w:cols w:space="708"/>
          <w:bidi/>
          <w:rtlGutter/>
          <w:docGrid w:linePitch="360"/>
        </w:sectPr>
      </w:pPr>
    </w:p>
    <w:p w:rsidR="00C76B20" w:rsidRPr="009141C3" w:rsidRDefault="00C76B20" w:rsidP="009141C3">
      <w:pPr>
        <w:jc w:val="both"/>
        <w:rPr>
          <w:rFonts w:asciiTheme="majorBidi" w:hAnsiTheme="majorBidi" w:cstheme="majorBidi"/>
          <w:b/>
          <w:bCs/>
          <w:sz w:val="24"/>
          <w:szCs w:val="24"/>
          <w:rtl/>
        </w:rPr>
      </w:pPr>
      <w:r w:rsidRPr="009141C3">
        <w:rPr>
          <w:rFonts w:asciiTheme="majorBidi" w:hAnsiTheme="majorBidi" w:cstheme="majorBidi"/>
          <w:b/>
          <w:bCs/>
          <w:sz w:val="24"/>
          <w:szCs w:val="24"/>
          <w:rtl/>
        </w:rPr>
        <w:lastRenderedPageBreak/>
        <w:t>א, הלך אחר הרוב</w:t>
      </w:r>
    </w:p>
    <w:p w:rsidR="00C76B20" w:rsidRPr="009141C3" w:rsidRDefault="00C76B20" w:rsidP="009141C3">
      <w:pPr>
        <w:jc w:val="both"/>
        <w:rPr>
          <w:rFonts w:asciiTheme="majorBidi" w:hAnsiTheme="majorBidi" w:cstheme="majorBidi"/>
          <w:sz w:val="24"/>
          <w:szCs w:val="24"/>
          <w:rtl/>
        </w:rPr>
      </w:pPr>
      <w:r w:rsidRPr="009141C3">
        <w:rPr>
          <w:rFonts w:asciiTheme="majorBidi" w:hAnsiTheme="majorBidi" w:cstheme="majorBidi"/>
          <w:sz w:val="24"/>
          <w:szCs w:val="24"/>
          <w:rtl/>
        </w:rPr>
        <w:t>שני דינים הם: ביטול ברוב, והלך אחר הרוב. שניהם נלמדים מאותו פסוק: 'אחרי רבים להטות'. [הלך אחר הרוב – חולין י., ביטול ברוב – רש"י ביצה ג:.] אך שני דינים שונים הם.</w:t>
      </w:r>
      <w:r w:rsidR="00E83EF7" w:rsidRPr="009141C3">
        <w:rPr>
          <w:rFonts w:asciiTheme="majorBidi" w:hAnsiTheme="majorBidi" w:cstheme="majorBidi"/>
          <w:sz w:val="24"/>
          <w:szCs w:val="24"/>
          <w:rtl/>
        </w:rPr>
        <w:t xml:space="preserve"> [כמבואר בפשטות </w:t>
      </w:r>
      <w:proofErr w:type="spellStart"/>
      <w:r w:rsidR="00E83EF7" w:rsidRPr="009141C3">
        <w:rPr>
          <w:rFonts w:asciiTheme="majorBidi" w:hAnsiTheme="majorBidi" w:cstheme="majorBidi"/>
          <w:sz w:val="24"/>
          <w:szCs w:val="24"/>
          <w:rtl/>
        </w:rPr>
        <w:t>הסוגיא</w:t>
      </w:r>
      <w:proofErr w:type="spellEnd"/>
      <w:r w:rsidR="00E83EF7" w:rsidRPr="009141C3">
        <w:rPr>
          <w:rFonts w:asciiTheme="majorBidi" w:hAnsiTheme="majorBidi" w:cstheme="majorBidi"/>
          <w:sz w:val="24"/>
          <w:szCs w:val="24"/>
          <w:rtl/>
        </w:rPr>
        <w:t xml:space="preserve"> בזבחים ע"ג. שלאחר שסיימה להסביר </w:t>
      </w:r>
      <w:proofErr w:type="spellStart"/>
      <w:r w:rsidR="00E83EF7" w:rsidRPr="009141C3">
        <w:rPr>
          <w:rFonts w:asciiTheme="majorBidi" w:hAnsiTheme="majorBidi" w:cstheme="majorBidi"/>
          <w:sz w:val="24"/>
          <w:szCs w:val="24"/>
          <w:rtl/>
        </w:rPr>
        <w:t>אמאי</w:t>
      </w:r>
      <w:proofErr w:type="spellEnd"/>
      <w:r w:rsidR="00E83EF7" w:rsidRPr="009141C3">
        <w:rPr>
          <w:rFonts w:asciiTheme="majorBidi" w:hAnsiTheme="majorBidi" w:cstheme="majorBidi"/>
          <w:sz w:val="24"/>
          <w:szCs w:val="24"/>
          <w:rtl/>
        </w:rPr>
        <w:t xml:space="preserve"> אין ביטול ברוב חזרה ושאלה </w:t>
      </w:r>
      <w:proofErr w:type="spellStart"/>
      <w:r w:rsidR="00E83EF7" w:rsidRPr="009141C3">
        <w:rPr>
          <w:rFonts w:asciiTheme="majorBidi" w:hAnsiTheme="majorBidi" w:cstheme="majorBidi"/>
          <w:sz w:val="24"/>
          <w:szCs w:val="24"/>
          <w:rtl/>
        </w:rPr>
        <w:t>אמאי</w:t>
      </w:r>
      <w:proofErr w:type="spellEnd"/>
      <w:r w:rsidR="00E83EF7" w:rsidRPr="009141C3">
        <w:rPr>
          <w:rFonts w:asciiTheme="majorBidi" w:hAnsiTheme="majorBidi" w:cstheme="majorBidi"/>
          <w:sz w:val="24"/>
          <w:szCs w:val="24"/>
          <w:rtl/>
        </w:rPr>
        <w:t xml:space="preserve"> לא נלך אחר הרוב.]</w:t>
      </w:r>
      <w:r w:rsidRPr="009141C3">
        <w:rPr>
          <w:rFonts w:asciiTheme="majorBidi" w:hAnsiTheme="majorBidi" w:cstheme="majorBidi"/>
          <w:sz w:val="24"/>
          <w:szCs w:val="24"/>
          <w:rtl/>
        </w:rPr>
        <w:t xml:space="preserve"> </w:t>
      </w:r>
      <w:r w:rsidR="00E83EF7" w:rsidRPr="009141C3">
        <w:rPr>
          <w:rFonts w:asciiTheme="majorBidi" w:hAnsiTheme="majorBidi" w:cstheme="majorBidi"/>
          <w:sz w:val="24"/>
          <w:szCs w:val="24"/>
          <w:rtl/>
        </w:rPr>
        <w:t xml:space="preserve">וגם </w:t>
      </w:r>
      <w:proofErr w:type="spellStart"/>
      <w:r w:rsidR="00E83EF7" w:rsidRPr="009141C3">
        <w:rPr>
          <w:rFonts w:asciiTheme="majorBidi" w:hAnsiTheme="majorBidi" w:cstheme="majorBidi"/>
          <w:sz w:val="24"/>
          <w:szCs w:val="24"/>
          <w:rtl/>
        </w:rPr>
        <w:t>גדריהם</w:t>
      </w:r>
      <w:proofErr w:type="spellEnd"/>
      <w:r w:rsidR="00E83EF7" w:rsidRPr="009141C3">
        <w:rPr>
          <w:rFonts w:asciiTheme="majorBidi" w:hAnsiTheme="majorBidi" w:cstheme="majorBidi"/>
          <w:sz w:val="24"/>
          <w:szCs w:val="24"/>
          <w:rtl/>
        </w:rPr>
        <w:t xml:space="preserve"> שונים. </w:t>
      </w:r>
      <w:r w:rsidRPr="009141C3">
        <w:rPr>
          <w:rFonts w:asciiTheme="majorBidi" w:hAnsiTheme="majorBidi" w:cstheme="majorBidi"/>
          <w:sz w:val="24"/>
          <w:szCs w:val="24"/>
          <w:rtl/>
        </w:rPr>
        <w:t xml:space="preserve">בביטול ברוב </w:t>
      </w:r>
      <w:r w:rsidR="00E83EF7" w:rsidRPr="009141C3">
        <w:rPr>
          <w:rFonts w:asciiTheme="majorBidi" w:hAnsiTheme="majorBidi" w:cstheme="majorBidi"/>
          <w:sz w:val="24"/>
          <w:szCs w:val="24"/>
          <w:rtl/>
        </w:rPr>
        <w:t>יסוד הדין הוא ש</w:t>
      </w:r>
      <w:r w:rsidRPr="009141C3">
        <w:rPr>
          <w:rFonts w:asciiTheme="majorBidi" w:hAnsiTheme="majorBidi" w:cstheme="majorBidi"/>
          <w:sz w:val="24"/>
          <w:szCs w:val="24"/>
          <w:rtl/>
        </w:rPr>
        <w:t xml:space="preserve">האיסור נהפך להיתר ומותרת התערובת כולה כאחד (כשיטת </w:t>
      </w:r>
      <w:proofErr w:type="spellStart"/>
      <w:r w:rsidRPr="009141C3">
        <w:rPr>
          <w:rFonts w:asciiTheme="majorBidi" w:hAnsiTheme="majorBidi" w:cstheme="majorBidi"/>
          <w:sz w:val="24"/>
          <w:szCs w:val="24"/>
          <w:rtl/>
        </w:rPr>
        <w:t>הרא"ש</w:t>
      </w:r>
      <w:proofErr w:type="spellEnd"/>
      <w:r w:rsidRPr="009141C3">
        <w:rPr>
          <w:rFonts w:asciiTheme="majorBidi" w:hAnsiTheme="majorBidi" w:cstheme="majorBidi"/>
          <w:sz w:val="24"/>
          <w:szCs w:val="24"/>
          <w:rtl/>
        </w:rPr>
        <w:t xml:space="preserve">, וגם </w:t>
      </w:r>
      <w:proofErr w:type="spellStart"/>
      <w:r w:rsidRPr="009141C3">
        <w:rPr>
          <w:rFonts w:asciiTheme="majorBidi" w:hAnsiTheme="majorBidi" w:cstheme="majorBidi"/>
          <w:sz w:val="24"/>
          <w:szCs w:val="24"/>
          <w:rtl/>
        </w:rPr>
        <w:t>הרשב"א</w:t>
      </w:r>
      <w:proofErr w:type="spellEnd"/>
      <w:r w:rsidRPr="009141C3">
        <w:rPr>
          <w:rFonts w:asciiTheme="majorBidi" w:hAnsiTheme="majorBidi" w:cstheme="majorBidi"/>
          <w:sz w:val="24"/>
          <w:szCs w:val="24"/>
          <w:rtl/>
        </w:rPr>
        <w:t xml:space="preserve"> דפליג בפשטות הוא רק מדרבנן).  ואילו בהלך אחר הרוב יסוד ההיתר הוא רק כאשר דנים על כל חתיכה וחתיכה בפני עצמה, באשר אין כאן איסור שנהפך להיתר, אלא הכרעה לתלות על כל חתיכה שהיא מההיתר ולא מהאיסור</w:t>
      </w:r>
      <w:r w:rsidR="005A260E" w:rsidRPr="009141C3">
        <w:rPr>
          <w:rFonts w:asciiTheme="majorBidi" w:hAnsiTheme="majorBidi" w:cstheme="majorBidi"/>
          <w:sz w:val="24"/>
          <w:szCs w:val="24"/>
          <w:rtl/>
        </w:rPr>
        <w:t>, ו</w:t>
      </w:r>
      <w:r w:rsidR="00E83EF7" w:rsidRPr="009141C3">
        <w:rPr>
          <w:rFonts w:asciiTheme="majorBidi" w:hAnsiTheme="majorBidi" w:cstheme="majorBidi"/>
          <w:sz w:val="24"/>
          <w:szCs w:val="24"/>
          <w:rtl/>
        </w:rPr>
        <w:t>כמבואר זה בביאור רש"י בגמ' בזבחים שם</w:t>
      </w:r>
      <w:r w:rsidR="005A260E" w:rsidRPr="009141C3">
        <w:rPr>
          <w:rFonts w:asciiTheme="majorBidi" w:hAnsiTheme="majorBidi" w:cstheme="majorBidi"/>
          <w:sz w:val="24"/>
          <w:szCs w:val="24"/>
          <w:rtl/>
        </w:rPr>
        <w:t xml:space="preserve"> לשאלת </w:t>
      </w:r>
      <w:proofErr w:type="spellStart"/>
      <w:r w:rsidR="005A260E" w:rsidRPr="009141C3">
        <w:rPr>
          <w:rFonts w:asciiTheme="majorBidi" w:hAnsiTheme="majorBidi" w:cstheme="majorBidi"/>
          <w:sz w:val="24"/>
          <w:szCs w:val="24"/>
          <w:rtl/>
        </w:rPr>
        <w:t>הגמ</w:t>
      </w:r>
      <w:proofErr w:type="spellEnd"/>
      <w:r w:rsidR="005A260E" w:rsidRPr="009141C3">
        <w:rPr>
          <w:rFonts w:asciiTheme="majorBidi" w:hAnsiTheme="majorBidi" w:cstheme="majorBidi"/>
          <w:sz w:val="24"/>
          <w:szCs w:val="24"/>
          <w:rtl/>
        </w:rPr>
        <w:t>'</w:t>
      </w:r>
      <w:r w:rsidR="00763343" w:rsidRPr="009141C3">
        <w:rPr>
          <w:rFonts w:asciiTheme="majorBidi" w:hAnsiTheme="majorBidi" w:cstheme="majorBidi"/>
          <w:sz w:val="24"/>
          <w:szCs w:val="24"/>
          <w:rtl/>
        </w:rPr>
        <w:t xml:space="preserve">: "ונמשוך ונקרב חד </w:t>
      </w:r>
      <w:proofErr w:type="spellStart"/>
      <w:r w:rsidR="00763343" w:rsidRPr="009141C3">
        <w:rPr>
          <w:rFonts w:asciiTheme="majorBidi" w:hAnsiTheme="majorBidi" w:cstheme="majorBidi"/>
          <w:sz w:val="24"/>
          <w:szCs w:val="24"/>
          <w:rtl/>
        </w:rPr>
        <w:t>מינייהו</w:t>
      </w:r>
      <w:proofErr w:type="spellEnd"/>
      <w:r w:rsidR="00763343" w:rsidRPr="009141C3">
        <w:rPr>
          <w:rFonts w:asciiTheme="majorBidi" w:hAnsiTheme="majorBidi" w:cstheme="majorBidi"/>
          <w:sz w:val="24"/>
          <w:szCs w:val="24"/>
          <w:rtl/>
        </w:rPr>
        <w:t xml:space="preserve"> </w:t>
      </w:r>
      <w:proofErr w:type="spellStart"/>
      <w:r w:rsidR="00763343" w:rsidRPr="009141C3">
        <w:rPr>
          <w:rFonts w:asciiTheme="majorBidi" w:hAnsiTheme="majorBidi" w:cstheme="majorBidi"/>
          <w:sz w:val="24"/>
          <w:szCs w:val="24"/>
          <w:rtl/>
        </w:rPr>
        <w:t>ונימא</w:t>
      </w:r>
      <w:proofErr w:type="spellEnd"/>
      <w:r w:rsidR="00763343" w:rsidRPr="009141C3">
        <w:rPr>
          <w:rFonts w:asciiTheme="majorBidi" w:hAnsiTheme="majorBidi" w:cstheme="majorBidi"/>
          <w:sz w:val="24"/>
          <w:szCs w:val="24"/>
          <w:rtl/>
        </w:rPr>
        <w:t xml:space="preserve"> כל </w:t>
      </w:r>
      <w:proofErr w:type="spellStart"/>
      <w:r w:rsidR="00763343" w:rsidRPr="009141C3">
        <w:rPr>
          <w:rFonts w:asciiTheme="majorBidi" w:hAnsiTheme="majorBidi" w:cstheme="majorBidi"/>
          <w:sz w:val="24"/>
          <w:szCs w:val="24"/>
          <w:rtl/>
        </w:rPr>
        <w:t>דפריש</w:t>
      </w:r>
      <w:proofErr w:type="spellEnd"/>
      <w:r w:rsidR="00763343" w:rsidRPr="009141C3">
        <w:rPr>
          <w:rFonts w:asciiTheme="majorBidi" w:hAnsiTheme="majorBidi" w:cstheme="majorBidi"/>
          <w:sz w:val="24"/>
          <w:szCs w:val="24"/>
          <w:rtl/>
        </w:rPr>
        <w:t xml:space="preserve"> </w:t>
      </w:r>
      <w:proofErr w:type="spellStart"/>
      <w:r w:rsidR="00763343" w:rsidRPr="009141C3">
        <w:rPr>
          <w:rFonts w:asciiTheme="majorBidi" w:hAnsiTheme="majorBidi" w:cstheme="majorBidi"/>
          <w:sz w:val="24"/>
          <w:szCs w:val="24"/>
          <w:rtl/>
        </w:rPr>
        <w:t>מרובא</w:t>
      </w:r>
      <w:proofErr w:type="spellEnd"/>
      <w:r w:rsidR="00763343" w:rsidRPr="009141C3">
        <w:rPr>
          <w:rFonts w:asciiTheme="majorBidi" w:hAnsiTheme="majorBidi" w:cstheme="majorBidi"/>
          <w:sz w:val="24"/>
          <w:szCs w:val="24"/>
          <w:rtl/>
        </w:rPr>
        <w:t xml:space="preserve"> פריש."</w:t>
      </w:r>
    </w:p>
    <w:p w:rsidR="00E77CFF" w:rsidRPr="009141C3" w:rsidRDefault="00E77CFF" w:rsidP="009141C3">
      <w:pPr>
        <w:jc w:val="both"/>
        <w:rPr>
          <w:rFonts w:asciiTheme="majorBidi" w:hAnsiTheme="majorBidi" w:cstheme="majorBidi"/>
          <w:b/>
          <w:bCs/>
          <w:sz w:val="24"/>
          <w:szCs w:val="24"/>
          <w:rtl/>
        </w:rPr>
      </w:pPr>
    </w:p>
    <w:p w:rsidR="00763343" w:rsidRPr="009141C3" w:rsidRDefault="00763343" w:rsidP="009141C3">
      <w:pPr>
        <w:jc w:val="both"/>
        <w:rPr>
          <w:rFonts w:asciiTheme="majorBidi" w:hAnsiTheme="majorBidi" w:cstheme="majorBidi"/>
          <w:b/>
          <w:bCs/>
          <w:sz w:val="24"/>
          <w:szCs w:val="24"/>
          <w:rtl/>
        </w:rPr>
      </w:pPr>
      <w:r w:rsidRPr="009141C3">
        <w:rPr>
          <w:rFonts w:asciiTheme="majorBidi" w:hAnsiTheme="majorBidi" w:cstheme="majorBidi"/>
          <w:b/>
          <w:bCs/>
          <w:sz w:val="24"/>
          <w:szCs w:val="24"/>
          <w:rtl/>
        </w:rPr>
        <w:t xml:space="preserve">ב, </w:t>
      </w:r>
      <w:r w:rsidR="00400D51" w:rsidRPr="009141C3">
        <w:rPr>
          <w:rFonts w:asciiTheme="majorBidi" w:hAnsiTheme="majorBidi" w:cstheme="majorBidi"/>
          <w:b/>
          <w:bCs/>
          <w:sz w:val="24"/>
          <w:szCs w:val="24"/>
          <w:rtl/>
        </w:rPr>
        <w:t>קבוע</w:t>
      </w:r>
    </w:p>
    <w:p w:rsidR="00763343" w:rsidRPr="009141C3" w:rsidRDefault="00400D51" w:rsidP="00516261">
      <w:pPr>
        <w:jc w:val="both"/>
        <w:rPr>
          <w:rFonts w:asciiTheme="majorBidi" w:hAnsiTheme="majorBidi" w:cstheme="majorBidi"/>
          <w:sz w:val="24"/>
          <w:szCs w:val="24"/>
          <w:rtl/>
        </w:rPr>
      </w:pPr>
      <w:r w:rsidRPr="009141C3">
        <w:rPr>
          <w:rFonts w:asciiTheme="majorBidi" w:hAnsiTheme="majorBidi" w:cstheme="majorBidi"/>
          <w:sz w:val="24"/>
          <w:szCs w:val="24"/>
          <w:rtl/>
        </w:rPr>
        <w:t xml:space="preserve">דרשו חז"ל שבפסוק "וקם לו וארב עליו" התחדש </w:t>
      </w:r>
      <w:proofErr w:type="spellStart"/>
      <w:r w:rsidRPr="009141C3">
        <w:rPr>
          <w:rFonts w:asciiTheme="majorBidi" w:hAnsiTheme="majorBidi" w:cstheme="majorBidi"/>
          <w:sz w:val="24"/>
          <w:szCs w:val="24"/>
          <w:rtl/>
        </w:rPr>
        <w:t>שב'קבוע</w:t>
      </w:r>
      <w:proofErr w:type="spellEnd"/>
      <w:r w:rsidRPr="009141C3">
        <w:rPr>
          <w:rFonts w:asciiTheme="majorBidi" w:hAnsiTheme="majorBidi" w:cstheme="majorBidi"/>
          <w:sz w:val="24"/>
          <w:szCs w:val="24"/>
          <w:rtl/>
        </w:rPr>
        <w:t xml:space="preserve">' לא הולכים אחר הרוב. ולא התפרש בגמ' קבוע זה מה גדרו.  ואלו </w:t>
      </w:r>
      <w:r w:rsidR="00FA677D" w:rsidRPr="009141C3">
        <w:rPr>
          <w:rFonts w:asciiTheme="majorBidi" w:hAnsiTheme="majorBidi" w:cstheme="majorBidi"/>
          <w:sz w:val="24"/>
          <w:szCs w:val="24"/>
          <w:rtl/>
        </w:rPr>
        <w:t>מ</w:t>
      </w:r>
      <w:r w:rsidRPr="009141C3">
        <w:rPr>
          <w:rFonts w:asciiTheme="majorBidi" w:hAnsiTheme="majorBidi" w:cstheme="majorBidi"/>
          <w:sz w:val="24"/>
          <w:szCs w:val="24"/>
          <w:rtl/>
        </w:rPr>
        <w:t xml:space="preserve">המקרים המבוארים בסוגיות שמוגדרים קבוע: א, קבוצה של י' אנשים שעומדים יחדיו. ב, בשר המונח בחנויות. ג, בועל בביתו. ד, צפרדע ושרצים מתים המעורבים יחדיו.  ה, </w:t>
      </w:r>
      <w:proofErr w:type="spellStart"/>
      <w:r w:rsidRPr="009141C3">
        <w:rPr>
          <w:rFonts w:asciiTheme="majorBidi" w:hAnsiTheme="majorBidi" w:cstheme="majorBidi"/>
          <w:sz w:val="24"/>
          <w:szCs w:val="24"/>
          <w:rtl/>
        </w:rPr>
        <w:t>אשה</w:t>
      </w:r>
      <w:proofErr w:type="spellEnd"/>
      <w:r w:rsidRPr="009141C3">
        <w:rPr>
          <w:rFonts w:asciiTheme="majorBidi" w:hAnsiTheme="majorBidi" w:cstheme="majorBidi"/>
          <w:sz w:val="24"/>
          <w:szCs w:val="24"/>
          <w:rtl/>
        </w:rPr>
        <w:t xml:space="preserve"> שהתקדשה בביתה.</w:t>
      </w:r>
      <w:r w:rsidR="00FA677D" w:rsidRPr="009141C3">
        <w:rPr>
          <w:rFonts w:asciiTheme="majorBidi" w:hAnsiTheme="majorBidi" w:cstheme="majorBidi"/>
          <w:sz w:val="24"/>
          <w:szCs w:val="24"/>
          <w:rtl/>
        </w:rPr>
        <w:t xml:space="preserve"> ו, שור הנסקל שהתערב בשאר בהמות. ז, ט' צבורים של מצה ואחד של חמץ.   </w:t>
      </w:r>
      <w:r w:rsidR="00516261">
        <w:rPr>
          <w:rFonts w:asciiTheme="majorBidi" w:hAnsiTheme="majorBidi" w:cstheme="majorBidi" w:hint="cs"/>
          <w:sz w:val="24"/>
          <w:szCs w:val="24"/>
          <w:rtl/>
        </w:rPr>
        <w:t xml:space="preserve">  </w:t>
      </w:r>
      <w:r w:rsidR="00FA677D" w:rsidRPr="009141C3">
        <w:rPr>
          <w:rFonts w:asciiTheme="majorBidi" w:hAnsiTheme="majorBidi" w:cstheme="majorBidi"/>
          <w:sz w:val="24"/>
          <w:szCs w:val="24"/>
          <w:rtl/>
        </w:rPr>
        <w:t xml:space="preserve">ואלו מהמקרים המבוארים שלא נחשבים קבוע:    א, בשר שפירש מהחנות ונמצא בשוק.  ב, בועל שבעל שלא בביתו.  ג, </w:t>
      </w:r>
      <w:proofErr w:type="spellStart"/>
      <w:r w:rsidR="00FA677D" w:rsidRPr="009141C3">
        <w:rPr>
          <w:rFonts w:asciiTheme="majorBidi" w:hAnsiTheme="majorBidi" w:cstheme="majorBidi"/>
          <w:sz w:val="24"/>
          <w:szCs w:val="24"/>
          <w:rtl/>
        </w:rPr>
        <w:t>אשה</w:t>
      </w:r>
      <w:proofErr w:type="spellEnd"/>
      <w:r w:rsidR="00FA677D" w:rsidRPr="009141C3">
        <w:rPr>
          <w:rFonts w:asciiTheme="majorBidi" w:hAnsiTheme="majorBidi" w:cstheme="majorBidi"/>
          <w:sz w:val="24"/>
          <w:szCs w:val="24"/>
          <w:rtl/>
        </w:rPr>
        <w:t xml:space="preserve"> שהתקדשה בשוק (לולי הדחיה שהדרה </w:t>
      </w:r>
      <w:proofErr w:type="spellStart"/>
      <w:r w:rsidR="00FA677D" w:rsidRPr="009141C3">
        <w:rPr>
          <w:rFonts w:asciiTheme="majorBidi" w:hAnsiTheme="majorBidi" w:cstheme="majorBidi"/>
          <w:sz w:val="24"/>
          <w:szCs w:val="24"/>
          <w:rtl/>
        </w:rPr>
        <w:t>לקביעותא</w:t>
      </w:r>
      <w:proofErr w:type="spellEnd"/>
      <w:r w:rsidR="00FA677D" w:rsidRPr="009141C3">
        <w:rPr>
          <w:rFonts w:asciiTheme="majorBidi" w:hAnsiTheme="majorBidi" w:cstheme="majorBidi"/>
          <w:sz w:val="24"/>
          <w:szCs w:val="24"/>
          <w:rtl/>
        </w:rPr>
        <w:t>, וראה להלן).   ד, אותן בהמות שהתערב בהם שור הנסקל, אם זזו ממקומן למקום אחר.</w:t>
      </w:r>
      <w:r w:rsidR="00516261">
        <w:rPr>
          <w:rFonts w:asciiTheme="majorBidi" w:hAnsiTheme="majorBidi" w:cstheme="majorBidi" w:hint="cs"/>
          <w:sz w:val="24"/>
          <w:szCs w:val="24"/>
          <w:rtl/>
        </w:rPr>
        <w:t xml:space="preserve">    </w:t>
      </w:r>
      <w:r w:rsidR="00FA677D" w:rsidRPr="009141C3">
        <w:rPr>
          <w:rFonts w:asciiTheme="majorBidi" w:hAnsiTheme="majorBidi" w:cstheme="majorBidi"/>
          <w:sz w:val="24"/>
          <w:szCs w:val="24"/>
          <w:rtl/>
        </w:rPr>
        <w:t xml:space="preserve">ויש להציע שני ביאורים בסיסיים שונים במושג 'קבוע':  א, כאשר הדבר נמצא במקומו הקבוע והראוי לו.  ב, כאשר הדבר נמצא במקום ההסתפקות </w:t>
      </w:r>
      <w:r w:rsidR="00FA677D" w:rsidRPr="009141C3">
        <w:rPr>
          <w:rFonts w:asciiTheme="majorBidi" w:hAnsiTheme="majorBidi" w:cstheme="majorBidi"/>
          <w:sz w:val="24"/>
          <w:szCs w:val="24"/>
          <w:rtl/>
        </w:rPr>
        <w:lastRenderedPageBreak/>
        <w:t>וההתערבות הראשוני</w:t>
      </w:r>
      <w:r w:rsidR="00653A67" w:rsidRPr="009141C3">
        <w:rPr>
          <w:rFonts w:asciiTheme="majorBidi" w:hAnsiTheme="majorBidi" w:cstheme="majorBidi"/>
          <w:sz w:val="24"/>
          <w:szCs w:val="24"/>
          <w:rtl/>
        </w:rPr>
        <w:t>, בלא שפירש משם</w:t>
      </w:r>
      <w:r w:rsidR="007266F5">
        <w:rPr>
          <w:rStyle w:val="a5"/>
          <w:rFonts w:asciiTheme="majorBidi" w:hAnsiTheme="majorBidi" w:cstheme="majorBidi"/>
          <w:sz w:val="24"/>
          <w:szCs w:val="24"/>
          <w:rtl/>
        </w:rPr>
        <w:footnoteReference w:id="1"/>
      </w:r>
      <w:r w:rsidR="00E83EF7" w:rsidRPr="009141C3">
        <w:rPr>
          <w:rFonts w:asciiTheme="majorBidi" w:hAnsiTheme="majorBidi" w:cstheme="majorBidi"/>
          <w:sz w:val="24"/>
          <w:szCs w:val="24"/>
          <w:rtl/>
        </w:rPr>
        <w:t xml:space="preserve">.   [לצד הראשון, לכאורה הוא עניין של חשיבות גרידא, מעין מה שבעלי חיים לא בטילי.  ולצד השני, אולי הוא עניין של חשיבות </w:t>
      </w:r>
      <w:r w:rsidR="00E77CFF" w:rsidRPr="009141C3">
        <w:rPr>
          <w:rFonts w:asciiTheme="majorBidi" w:hAnsiTheme="majorBidi" w:cstheme="majorBidi"/>
          <w:sz w:val="24"/>
          <w:szCs w:val="24"/>
          <w:rtl/>
        </w:rPr>
        <w:t>'</w:t>
      </w:r>
      <w:r w:rsidR="00E83EF7" w:rsidRPr="009141C3">
        <w:rPr>
          <w:rFonts w:asciiTheme="majorBidi" w:hAnsiTheme="majorBidi" w:cstheme="majorBidi"/>
          <w:sz w:val="24"/>
          <w:szCs w:val="24"/>
          <w:rtl/>
        </w:rPr>
        <w:t>צד האי</w:t>
      </w:r>
      <w:r w:rsidR="00E77CFF" w:rsidRPr="009141C3">
        <w:rPr>
          <w:rFonts w:asciiTheme="majorBidi" w:hAnsiTheme="majorBidi" w:cstheme="majorBidi"/>
          <w:sz w:val="24"/>
          <w:szCs w:val="24"/>
          <w:rtl/>
        </w:rPr>
        <w:t>סור', או שהוא עניין בגדרי הדין של הלך</w:t>
      </w:r>
      <w:r w:rsidR="00E83EF7" w:rsidRPr="009141C3">
        <w:rPr>
          <w:rFonts w:asciiTheme="majorBidi" w:hAnsiTheme="majorBidi" w:cstheme="majorBidi"/>
          <w:sz w:val="24"/>
          <w:szCs w:val="24"/>
          <w:rtl/>
        </w:rPr>
        <w:t xml:space="preserve"> אחר הרוב (וצריך ביאור, כמובן).]</w:t>
      </w:r>
    </w:p>
    <w:p w:rsidR="00E83EF7" w:rsidRDefault="00E83EF7" w:rsidP="009141C3">
      <w:pPr>
        <w:jc w:val="both"/>
        <w:rPr>
          <w:rFonts w:asciiTheme="majorBidi" w:hAnsiTheme="majorBidi" w:cstheme="majorBidi"/>
          <w:sz w:val="24"/>
          <w:szCs w:val="24"/>
          <w:rtl/>
        </w:rPr>
      </w:pPr>
      <w:r w:rsidRPr="009141C3">
        <w:rPr>
          <w:rFonts w:asciiTheme="majorBidi" w:hAnsiTheme="majorBidi" w:cstheme="majorBidi"/>
          <w:sz w:val="24"/>
          <w:szCs w:val="24"/>
          <w:rtl/>
        </w:rPr>
        <w:t xml:space="preserve">והנה, מהא </w:t>
      </w:r>
      <w:proofErr w:type="spellStart"/>
      <w:r w:rsidRPr="009141C3">
        <w:rPr>
          <w:rFonts w:asciiTheme="majorBidi" w:hAnsiTheme="majorBidi" w:cstheme="majorBidi"/>
          <w:sz w:val="24"/>
          <w:szCs w:val="24"/>
          <w:rtl/>
        </w:rPr>
        <w:t>דנקטה</w:t>
      </w:r>
      <w:proofErr w:type="spellEnd"/>
      <w:r w:rsidRPr="009141C3">
        <w:rPr>
          <w:rFonts w:asciiTheme="majorBidi" w:hAnsiTheme="majorBidi" w:cstheme="majorBidi"/>
          <w:sz w:val="24"/>
          <w:szCs w:val="24"/>
          <w:rtl/>
        </w:rPr>
        <w:t xml:space="preserve"> </w:t>
      </w:r>
      <w:proofErr w:type="spellStart"/>
      <w:r w:rsidRPr="009141C3">
        <w:rPr>
          <w:rFonts w:asciiTheme="majorBidi" w:hAnsiTheme="majorBidi" w:cstheme="majorBidi"/>
          <w:sz w:val="24"/>
          <w:szCs w:val="24"/>
          <w:rtl/>
        </w:rPr>
        <w:t>הגמ</w:t>
      </w:r>
      <w:proofErr w:type="spellEnd"/>
      <w:r w:rsidRPr="009141C3">
        <w:rPr>
          <w:rFonts w:asciiTheme="majorBidi" w:hAnsiTheme="majorBidi" w:cstheme="majorBidi"/>
          <w:sz w:val="24"/>
          <w:szCs w:val="24"/>
          <w:rtl/>
        </w:rPr>
        <w:t xml:space="preserve">' בפשיטות לגבי "זורק אבן לגו", ולגבי הזבחים שהתערבו, ולגבי הצפרדע והשרצים שמוגדרים כקבועים מבלי לבאר מהו מקומם, משמע </w:t>
      </w:r>
      <w:proofErr w:type="spellStart"/>
      <w:r w:rsidRPr="009141C3">
        <w:rPr>
          <w:rFonts w:asciiTheme="majorBidi" w:hAnsiTheme="majorBidi" w:cstheme="majorBidi"/>
          <w:sz w:val="24"/>
          <w:szCs w:val="24"/>
          <w:rtl/>
        </w:rPr>
        <w:t>כהצד</w:t>
      </w:r>
      <w:proofErr w:type="spellEnd"/>
      <w:r w:rsidRPr="009141C3">
        <w:rPr>
          <w:rFonts w:asciiTheme="majorBidi" w:hAnsiTheme="majorBidi" w:cstheme="majorBidi"/>
          <w:sz w:val="24"/>
          <w:szCs w:val="24"/>
          <w:rtl/>
        </w:rPr>
        <w:t xml:space="preserve"> השני. ואילו </w:t>
      </w:r>
      <w:proofErr w:type="spellStart"/>
      <w:r w:rsidRPr="009141C3">
        <w:rPr>
          <w:rFonts w:asciiTheme="majorBidi" w:hAnsiTheme="majorBidi" w:cstheme="majorBidi"/>
          <w:sz w:val="24"/>
          <w:szCs w:val="24"/>
          <w:rtl/>
        </w:rPr>
        <w:t>בנידוני</w:t>
      </w:r>
      <w:proofErr w:type="spellEnd"/>
      <w:r w:rsidRPr="009141C3">
        <w:rPr>
          <w:rFonts w:asciiTheme="majorBidi" w:hAnsiTheme="majorBidi" w:cstheme="majorBidi"/>
          <w:sz w:val="24"/>
          <w:szCs w:val="24"/>
          <w:rtl/>
        </w:rPr>
        <w:t xml:space="preserve"> </w:t>
      </w:r>
      <w:proofErr w:type="spellStart"/>
      <w:r w:rsidRPr="009141C3">
        <w:rPr>
          <w:rFonts w:asciiTheme="majorBidi" w:hAnsiTheme="majorBidi" w:cstheme="majorBidi"/>
          <w:sz w:val="24"/>
          <w:szCs w:val="24"/>
          <w:rtl/>
        </w:rPr>
        <w:t>הגמ</w:t>
      </w:r>
      <w:proofErr w:type="spellEnd"/>
      <w:r w:rsidRPr="009141C3">
        <w:rPr>
          <w:rFonts w:asciiTheme="majorBidi" w:hAnsiTheme="majorBidi" w:cstheme="majorBidi"/>
          <w:sz w:val="24"/>
          <w:szCs w:val="24"/>
          <w:rtl/>
        </w:rPr>
        <w:t xml:space="preserve">' בנזיר (י"ב.) לגבי מיקומה של </w:t>
      </w:r>
      <w:proofErr w:type="spellStart"/>
      <w:r w:rsidRPr="009141C3">
        <w:rPr>
          <w:rFonts w:asciiTheme="majorBidi" w:hAnsiTheme="majorBidi" w:cstheme="majorBidi"/>
          <w:sz w:val="24"/>
          <w:szCs w:val="24"/>
          <w:rtl/>
        </w:rPr>
        <w:t>האשה</w:t>
      </w:r>
      <w:proofErr w:type="spellEnd"/>
      <w:r w:rsidRPr="009141C3">
        <w:rPr>
          <w:rFonts w:asciiTheme="majorBidi" w:hAnsiTheme="majorBidi" w:cstheme="majorBidi"/>
          <w:sz w:val="24"/>
          <w:szCs w:val="24"/>
          <w:rtl/>
        </w:rPr>
        <w:t>,</w:t>
      </w:r>
      <w:r w:rsidR="00E77CFF" w:rsidRPr="009141C3">
        <w:rPr>
          <w:rFonts w:asciiTheme="majorBidi" w:hAnsiTheme="majorBidi" w:cstheme="majorBidi"/>
          <w:sz w:val="24"/>
          <w:szCs w:val="24"/>
          <w:rtl/>
        </w:rPr>
        <w:t xml:space="preserve"> בחילוק אם נמצאת בבית או בשוק,</w:t>
      </w:r>
      <w:r w:rsidRPr="009141C3">
        <w:rPr>
          <w:rFonts w:asciiTheme="majorBidi" w:hAnsiTheme="majorBidi" w:cstheme="majorBidi"/>
          <w:sz w:val="24"/>
          <w:szCs w:val="24"/>
          <w:rtl/>
        </w:rPr>
        <w:t xml:space="preserve"> משמע בפשטות לכאורה </w:t>
      </w:r>
      <w:proofErr w:type="spellStart"/>
      <w:r w:rsidRPr="009141C3">
        <w:rPr>
          <w:rFonts w:asciiTheme="majorBidi" w:hAnsiTheme="majorBidi" w:cstheme="majorBidi"/>
          <w:sz w:val="24"/>
          <w:szCs w:val="24"/>
          <w:rtl/>
        </w:rPr>
        <w:t>כהצד</w:t>
      </w:r>
      <w:proofErr w:type="spellEnd"/>
      <w:r w:rsidRPr="009141C3">
        <w:rPr>
          <w:rFonts w:asciiTheme="majorBidi" w:hAnsiTheme="majorBidi" w:cstheme="majorBidi"/>
          <w:sz w:val="24"/>
          <w:szCs w:val="24"/>
          <w:rtl/>
        </w:rPr>
        <w:t xml:space="preserve"> הראשון, וצ"ע </w:t>
      </w:r>
      <w:proofErr w:type="spellStart"/>
      <w:r w:rsidRPr="009141C3">
        <w:rPr>
          <w:rFonts w:asciiTheme="majorBidi" w:hAnsiTheme="majorBidi" w:cstheme="majorBidi"/>
          <w:sz w:val="24"/>
          <w:szCs w:val="24"/>
          <w:rtl/>
        </w:rPr>
        <w:t>טובא</w:t>
      </w:r>
      <w:proofErr w:type="spellEnd"/>
      <w:r w:rsidRPr="009141C3">
        <w:rPr>
          <w:rFonts w:asciiTheme="majorBidi" w:hAnsiTheme="majorBidi" w:cstheme="majorBidi"/>
          <w:sz w:val="24"/>
          <w:szCs w:val="24"/>
          <w:rtl/>
        </w:rPr>
        <w:t xml:space="preserve"> בכל זה.</w:t>
      </w:r>
    </w:p>
    <w:p w:rsidR="000B266F" w:rsidRPr="009141C3" w:rsidRDefault="000B266F" w:rsidP="009141C3">
      <w:pPr>
        <w:jc w:val="both"/>
        <w:rPr>
          <w:rFonts w:asciiTheme="majorBidi" w:hAnsiTheme="majorBidi" w:cstheme="majorBidi"/>
          <w:sz w:val="24"/>
          <w:szCs w:val="24"/>
          <w:rtl/>
        </w:rPr>
      </w:pPr>
      <w:r>
        <w:rPr>
          <w:rFonts w:asciiTheme="majorBidi" w:hAnsiTheme="majorBidi" w:cstheme="majorBidi" w:hint="cs"/>
          <w:sz w:val="24"/>
          <w:szCs w:val="24"/>
          <w:rtl/>
        </w:rPr>
        <w:t xml:space="preserve">[ודרכו של רבינו </w:t>
      </w:r>
      <w:proofErr w:type="spellStart"/>
      <w:r>
        <w:rPr>
          <w:rFonts w:asciiTheme="majorBidi" w:hAnsiTheme="majorBidi" w:cstheme="majorBidi" w:hint="cs"/>
          <w:sz w:val="24"/>
          <w:szCs w:val="24"/>
          <w:rtl/>
        </w:rPr>
        <w:t>חזו"א</w:t>
      </w:r>
      <w:proofErr w:type="spellEnd"/>
      <w:r>
        <w:rPr>
          <w:rFonts w:asciiTheme="majorBidi" w:hAnsiTheme="majorBidi" w:cstheme="majorBidi" w:hint="cs"/>
          <w:sz w:val="24"/>
          <w:szCs w:val="24"/>
          <w:rtl/>
        </w:rPr>
        <w:t xml:space="preserve"> לחלק בין מקרים שהפרישה לפנינו (אלא ששכחנו וכדו') דאז גם מקום ההסתפקות מוגדר לקבוע, לבין מקרי הבעילה והקידושין, </w:t>
      </w:r>
      <w:proofErr w:type="spellStart"/>
      <w:r>
        <w:rPr>
          <w:rFonts w:asciiTheme="majorBidi" w:hAnsiTheme="majorBidi" w:cstheme="majorBidi" w:hint="cs"/>
          <w:sz w:val="24"/>
          <w:szCs w:val="24"/>
          <w:rtl/>
        </w:rPr>
        <w:t>שהכל</w:t>
      </w:r>
      <w:proofErr w:type="spellEnd"/>
      <w:r>
        <w:rPr>
          <w:rFonts w:asciiTheme="majorBidi" w:hAnsiTheme="majorBidi" w:cstheme="majorBidi" w:hint="cs"/>
          <w:sz w:val="24"/>
          <w:szCs w:val="24"/>
          <w:rtl/>
        </w:rPr>
        <w:t xml:space="preserve"> היה שלא בפנינו, דאז תלוי במקום קביעות בפועל, וצ"ע </w:t>
      </w:r>
      <w:proofErr w:type="spellStart"/>
      <w:r>
        <w:rPr>
          <w:rFonts w:asciiTheme="majorBidi" w:hAnsiTheme="majorBidi" w:cstheme="majorBidi" w:hint="cs"/>
          <w:sz w:val="24"/>
          <w:szCs w:val="24"/>
          <w:rtl/>
        </w:rPr>
        <w:t>הסברא</w:t>
      </w:r>
      <w:proofErr w:type="spellEnd"/>
      <w:r>
        <w:rPr>
          <w:rFonts w:asciiTheme="majorBidi" w:hAnsiTheme="majorBidi" w:cstheme="majorBidi" w:hint="cs"/>
          <w:sz w:val="24"/>
          <w:szCs w:val="24"/>
          <w:rtl/>
        </w:rPr>
        <w:t>.]</w:t>
      </w:r>
    </w:p>
    <w:p w:rsidR="00E77CFF" w:rsidRPr="009141C3" w:rsidRDefault="00E77CFF" w:rsidP="009141C3">
      <w:pPr>
        <w:jc w:val="both"/>
        <w:rPr>
          <w:rFonts w:asciiTheme="majorBidi" w:hAnsiTheme="majorBidi" w:cstheme="majorBidi"/>
          <w:sz w:val="24"/>
          <w:szCs w:val="24"/>
          <w:rtl/>
        </w:rPr>
      </w:pPr>
    </w:p>
    <w:p w:rsidR="00C76B20" w:rsidRPr="009141C3" w:rsidRDefault="00E77CFF" w:rsidP="009141C3">
      <w:pPr>
        <w:jc w:val="both"/>
        <w:rPr>
          <w:rFonts w:asciiTheme="majorBidi" w:hAnsiTheme="majorBidi" w:cstheme="majorBidi"/>
          <w:b/>
          <w:bCs/>
          <w:sz w:val="24"/>
          <w:szCs w:val="24"/>
          <w:rtl/>
        </w:rPr>
      </w:pPr>
      <w:r w:rsidRPr="009141C3">
        <w:rPr>
          <w:rFonts w:asciiTheme="majorBidi" w:hAnsiTheme="majorBidi" w:cstheme="majorBidi"/>
          <w:b/>
          <w:bCs/>
          <w:sz w:val="24"/>
          <w:szCs w:val="24"/>
          <w:rtl/>
        </w:rPr>
        <w:t>ג, קבוע הניכר ואינו ניכר</w:t>
      </w:r>
    </w:p>
    <w:p w:rsidR="0035220A" w:rsidRPr="009141C3" w:rsidRDefault="00E77CFF" w:rsidP="007C38EE">
      <w:pPr>
        <w:jc w:val="both"/>
        <w:rPr>
          <w:rFonts w:asciiTheme="majorBidi" w:hAnsiTheme="majorBidi" w:cstheme="majorBidi"/>
          <w:sz w:val="24"/>
          <w:szCs w:val="24"/>
          <w:rtl/>
        </w:rPr>
      </w:pPr>
      <w:r w:rsidRPr="009141C3">
        <w:rPr>
          <w:rFonts w:asciiTheme="majorBidi" w:hAnsiTheme="majorBidi" w:cstheme="majorBidi"/>
          <w:sz w:val="24"/>
          <w:szCs w:val="24"/>
          <w:rtl/>
        </w:rPr>
        <w:t xml:space="preserve">והנה שיטת </w:t>
      </w:r>
      <w:proofErr w:type="spellStart"/>
      <w:r w:rsidRPr="009141C3">
        <w:rPr>
          <w:rFonts w:asciiTheme="majorBidi" w:hAnsiTheme="majorBidi" w:cstheme="majorBidi"/>
          <w:sz w:val="24"/>
          <w:szCs w:val="24"/>
          <w:rtl/>
        </w:rPr>
        <w:t>התוס</w:t>
      </w:r>
      <w:proofErr w:type="spellEnd"/>
      <w:r w:rsidRPr="009141C3">
        <w:rPr>
          <w:rFonts w:asciiTheme="majorBidi" w:hAnsiTheme="majorBidi" w:cstheme="majorBidi"/>
          <w:sz w:val="24"/>
          <w:szCs w:val="24"/>
          <w:rtl/>
        </w:rPr>
        <w:t xml:space="preserve">' בכמה מקומות שדין קבוע דאורייתא הוא דווקא בניכר האיסור במקומו. ומה שמצאנו קבוע גם בהתערבות, אינו מעיקר הדין.  ולכאורה לשיטה זו יש לומר שבאמת עיקר דין קבוע אינו שייך למקום קביעות אלא להיכר האיסור במקומו. ולכן כל שניכר האיסור במקומו, אין שום </w:t>
      </w:r>
      <w:proofErr w:type="spellStart"/>
      <w:r w:rsidRPr="009141C3">
        <w:rPr>
          <w:rFonts w:asciiTheme="majorBidi" w:hAnsiTheme="majorBidi" w:cstheme="majorBidi"/>
          <w:sz w:val="24"/>
          <w:szCs w:val="24"/>
          <w:rtl/>
        </w:rPr>
        <w:t>נפ"מ</w:t>
      </w:r>
      <w:proofErr w:type="spellEnd"/>
      <w:r w:rsidRPr="009141C3">
        <w:rPr>
          <w:rFonts w:asciiTheme="majorBidi" w:hAnsiTheme="majorBidi" w:cstheme="majorBidi"/>
          <w:sz w:val="24"/>
          <w:szCs w:val="24"/>
          <w:rtl/>
        </w:rPr>
        <w:t xml:space="preserve"> אם נמצא במקומו הראוי או לא (ויובנו בזה המקרים של שרצים וזורק אבן לגו). וכל הנושא של 'מקום הקביעות' מתחיל באות</w:t>
      </w:r>
      <w:r w:rsidR="0035220A" w:rsidRPr="009141C3">
        <w:rPr>
          <w:rFonts w:asciiTheme="majorBidi" w:hAnsiTheme="majorBidi" w:cstheme="majorBidi"/>
          <w:sz w:val="24"/>
          <w:szCs w:val="24"/>
          <w:rtl/>
        </w:rPr>
        <w:t xml:space="preserve">ם המקרים של תערובת, דאינו קבוע מעיקר הדין אלא רק מדרבנן, ובזה החמירו דווקא ב'מקום הקביעות'.  [ועדיין צריך להבין </w:t>
      </w:r>
      <w:proofErr w:type="spellStart"/>
      <w:r w:rsidR="0035220A" w:rsidRPr="009141C3">
        <w:rPr>
          <w:rFonts w:asciiTheme="majorBidi" w:hAnsiTheme="majorBidi" w:cstheme="majorBidi"/>
          <w:sz w:val="24"/>
          <w:szCs w:val="24"/>
          <w:rtl/>
        </w:rPr>
        <w:t>אמאי</w:t>
      </w:r>
      <w:proofErr w:type="spellEnd"/>
      <w:r w:rsidR="0035220A" w:rsidRPr="009141C3">
        <w:rPr>
          <w:rFonts w:asciiTheme="majorBidi" w:hAnsiTheme="majorBidi" w:cstheme="majorBidi"/>
          <w:sz w:val="24"/>
          <w:szCs w:val="24"/>
          <w:rtl/>
        </w:rPr>
        <w:t xml:space="preserve"> בזבחים פשוט דהוי קבוע, ועיין.]</w:t>
      </w:r>
      <w:r w:rsidR="007C38EE">
        <w:rPr>
          <w:rFonts w:asciiTheme="majorBidi" w:hAnsiTheme="majorBidi" w:cstheme="majorBidi" w:hint="cs"/>
          <w:sz w:val="24"/>
          <w:szCs w:val="24"/>
          <w:rtl/>
        </w:rPr>
        <w:t xml:space="preserve">   </w:t>
      </w:r>
      <w:r w:rsidR="0035220A" w:rsidRPr="009141C3">
        <w:rPr>
          <w:rFonts w:asciiTheme="majorBidi" w:hAnsiTheme="majorBidi" w:cstheme="majorBidi"/>
          <w:sz w:val="24"/>
          <w:szCs w:val="24"/>
          <w:rtl/>
        </w:rPr>
        <w:t xml:space="preserve">אמנם מסתימת שאר הראשונים נראה שלא נחתו לחידוש זה </w:t>
      </w:r>
      <w:proofErr w:type="spellStart"/>
      <w:r w:rsidR="0035220A" w:rsidRPr="009141C3">
        <w:rPr>
          <w:rFonts w:asciiTheme="majorBidi" w:hAnsiTheme="majorBidi" w:cstheme="majorBidi"/>
          <w:sz w:val="24"/>
          <w:szCs w:val="24"/>
          <w:rtl/>
        </w:rPr>
        <w:t>וסבירא</w:t>
      </w:r>
      <w:proofErr w:type="spellEnd"/>
      <w:r w:rsidR="0035220A" w:rsidRPr="009141C3">
        <w:rPr>
          <w:rFonts w:asciiTheme="majorBidi" w:hAnsiTheme="majorBidi" w:cstheme="majorBidi"/>
          <w:sz w:val="24"/>
          <w:szCs w:val="24"/>
          <w:rtl/>
        </w:rPr>
        <w:t xml:space="preserve"> להו שדין קבוע דאורייתא הוא אף בלא ניכר האיסור, וכפשטות הסוגיות.</w:t>
      </w:r>
      <w:r w:rsidR="009A6E34">
        <w:rPr>
          <w:rFonts w:asciiTheme="majorBidi" w:hAnsiTheme="majorBidi" w:cstheme="majorBidi" w:hint="cs"/>
          <w:sz w:val="24"/>
          <w:szCs w:val="24"/>
          <w:rtl/>
        </w:rPr>
        <w:t xml:space="preserve"> [והנה </w:t>
      </w:r>
      <w:proofErr w:type="spellStart"/>
      <w:r w:rsidR="009A6E34">
        <w:rPr>
          <w:rFonts w:asciiTheme="majorBidi" w:hAnsiTheme="majorBidi" w:cstheme="majorBidi" w:hint="cs"/>
          <w:sz w:val="24"/>
          <w:szCs w:val="24"/>
          <w:rtl/>
        </w:rPr>
        <w:t>הפר"ח</w:t>
      </w:r>
      <w:proofErr w:type="spellEnd"/>
      <w:r w:rsidR="009A6E34">
        <w:rPr>
          <w:rFonts w:asciiTheme="majorBidi" w:hAnsiTheme="majorBidi" w:cstheme="majorBidi" w:hint="cs"/>
          <w:sz w:val="24"/>
          <w:szCs w:val="24"/>
          <w:rtl/>
        </w:rPr>
        <w:t xml:space="preserve"> נקט לעניין זה שקבוע דאורייתא הוא רק בניכר </w:t>
      </w:r>
      <w:r w:rsidR="009A6E34">
        <w:rPr>
          <w:rFonts w:asciiTheme="majorBidi" w:hAnsiTheme="majorBidi" w:cstheme="majorBidi" w:hint="cs"/>
          <w:sz w:val="24"/>
          <w:szCs w:val="24"/>
          <w:rtl/>
        </w:rPr>
        <w:lastRenderedPageBreak/>
        <w:t xml:space="preserve">האיסור לדבר פשוט, וכן הוא </w:t>
      </w:r>
      <w:proofErr w:type="spellStart"/>
      <w:r w:rsidR="009A6E34">
        <w:rPr>
          <w:rFonts w:asciiTheme="majorBidi" w:hAnsiTheme="majorBidi" w:cstheme="majorBidi" w:hint="cs"/>
          <w:sz w:val="24"/>
          <w:szCs w:val="24"/>
          <w:rtl/>
        </w:rPr>
        <w:t>בפמ"ג</w:t>
      </w:r>
      <w:proofErr w:type="spellEnd"/>
      <w:r w:rsidR="009A6E34">
        <w:rPr>
          <w:rFonts w:asciiTheme="majorBidi" w:hAnsiTheme="majorBidi" w:cstheme="majorBidi" w:hint="cs"/>
          <w:sz w:val="24"/>
          <w:szCs w:val="24"/>
          <w:rtl/>
        </w:rPr>
        <w:t xml:space="preserve"> (אם כי עורר שבב"ח נראה לא כך), אבל היד יהודה האריך להוכיח שדעת רוב הראשונים אינה כן וכתב שזו השיטה העיקרית.]</w:t>
      </w:r>
    </w:p>
    <w:p w:rsidR="007C38EE" w:rsidRDefault="007C38EE" w:rsidP="009141C3">
      <w:pPr>
        <w:jc w:val="both"/>
        <w:rPr>
          <w:rFonts w:asciiTheme="majorBidi" w:hAnsiTheme="majorBidi" w:cstheme="majorBidi"/>
          <w:b/>
          <w:bCs/>
          <w:sz w:val="24"/>
          <w:szCs w:val="24"/>
          <w:rtl/>
        </w:rPr>
      </w:pPr>
    </w:p>
    <w:p w:rsidR="0035220A" w:rsidRPr="009141C3" w:rsidRDefault="0035220A" w:rsidP="009141C3">
      <w:pPr>
        <w:jc w:val="both"/>
        <w:rPr>
          <w:rFonts w:asciiTheme="majorBidi" w:hAnsiTheme="majorBidi" w:cstheme="majorBidi"/>
          <w:b/>
          <w:bCs/>
          <w:sz w:val="24"/>
          <w:szCs w:val="24"/>
          <w:rtl/>
        </w:rPr>
      </w:pPr>
      <w:r w:rsidRPr="009141C3">
        <w:rPr>
          <w:rFonts w:asciiTheme="majorBidi" w:hAnsiTheme="majorBidi" w:cstheme="majorBidi"/>
          <w:b/>
          <w:bCs/>
          <w:sz w:val="24"/>
          <w:szCs w:val="24"/>
          <w:rtl/>
        </w:rPr>
        <w:t xml:space="preserve">ד, </w:t>
      </w:r>
      <w:r w:rsidR="001C6C6D" w:rsidRPr="009141C3">
        <w:rPr>
          <w:rFonts w:asciiTheme="majorBidi" w:hAnsiTheme="majorBidi" w:cstheme="majorBidi"/>
          <w:b/>
          <w:bCs/>
          <w:sz w:val="24"/>
          <w:szCs w:val="24"/>
          <w:rtl/>
        </w:rPr>
        <w:t>לקח מן הקבוע</w:t>
      </w:r>
    </w:p>
    <w:p w:rsidR="001C6C6D" w:rsidRPr="009141C3" w:rsidRDefault="001C6C6D" w:rsidP="009141C3">
      <w:pPr>
        <w:jc w:val="both"/>
        <w:rPr>
          <w:rFonts w:asciiTheme="majorBidi" w:hAnsiTheme="majorBidi" w:cstheme="majorBidi"/>
          <w:sz w:val="24"/>
          <w:szCs w:val="24"/>
          <w:rtl/>
        </w:rPr>
      </w:pPr>
      <w:r w:rsidRPr="009141C3">
        <w:rPr>
          <w:rFonts w:asciiTheme="majorBidi" w:hAnsiTheme="majorBidi" w:cstheme="majorBidi"/>
          <w:sz w:val="24"/>
          <w:szCs w:val="24"/>
          <w:rtl/>
        </w:rPr>
        <w:t xml:space="preserve">מבואר בברייתא </w:t>
      </w:r>
      <w:proofErr w:type="spellStart"/>
      <w:r w:rsidRPr="009141C3">
        <w:rPr>
          <w:rFonts w:asciiTheme="majorBidi" w:hAnsiTheme="majorBidi" w:cstheme="majorBidi"/>
          <w:sz w:val="24"/>
          <w:szCs w:val="24"/>
          <w:rtl/>
        </w:rPr>
        <w:t>דט</w:t>
      </w:r>
      <w:proofErr w:type="spellEnd"/>
      <w:r w:rsidRPr="009141C3">
        <w:rPr>
          <w:rFonts w:asciiTheme="majorBidi" w:hAnsiTheme="majorBidi" w:cstheme="majorBidi"/>
          <w:sz w:val="24"/>
          <w:szCs w:val="24"/>
          <w:rtl/>
        </w:rPr>
        <w:t xml:space="preserve">' חנויות שאם לקח מן החנויות, מוגדר קבוע ואין ללכת בזה אחרי הרוב. והוכיחו הראשונים </w:t>
      </w:r>
      <w:proofErr w:type="spellStart"/>
      <w:r w:rsidRPr="009141C3">
        <w:rPr>
          <w:rFonts w:asciiTheme="majorBidi" w:hAnsiTheme="majorBidi" w:cstheme="majorBidi"/>
          <w:sz w:val="24"/>
          <w:szCs w:val="24"/>
          <w:rtl/>
        </w:rPr>
        <w:t>מהסוגיא</w:t>
      </w:r>
      <w:proofErr w:type="spellEnd"/>
      <w:r w:rsidRPr="009141C3">
        <w:rPr>
          <w:rFonts w:asciiTheme="majorBidi" w:hAnsiTheme="majorBidi" w:cstheme="majorBidi"/>
          <w:sz w:val="24"/>
          <w:szCs w:val="24"/>
          <w:rtl/>
        </w:rPr>
        <w:t xml:space="preserve"> בפסחים (ט:) לגבי ציבורי מצה וחמץ, שאף אם לא לקח בידיים, אלא פירשה החתיכה בפנינו ממקום קביעותה</w:t>
      </w:r>
      <w:r w:rsidR="00E51355" w:rsidRPr="009141C3">
        <w:rPr>
          <w:rFonts w:asciiTheme="majorBidi" w:hAnsiTheme="majorBidi" w:cstheme="majorBidi"/>
          <w:sz w:val="24"/>
          <w:szCs w:val="24"/>
          <w:rtl/>
        </w:rPr>
        <w:t>, אין הולכים בה אחר הרוב</w:t>
      </w:r>
      <w:r w:rsidR="00F2718E" w:rsidRPr="009141C3">
        <w:rPr>
          <w:rFonts w:asciiTheme="majorBidi" w:hAnsiTheme="majorBidi" w:cstheme="majorBidi"/>
          <w:sz w:val="24"/>
          <w:szCs w:val="24"/>
          <w:rtl/>
        </w:rPr>
        <w:t xml:space="preserve">. והתקשו הראשונים בדברי </w:t>
      </w:r>
      <w:proofErr w:type="spellStart"/>
      <w:r w:rsidR="00F2718E" w:rsidRPr="009141C3">
        <w:rPr>
          <w:rFonts w:asciiTheme="majorBidi" w:hAnsiTheme="majorBidi" w:cstheme="majorBidi"/>
          <w:sz w:val="24"/>
          <w:szCs w:val="24"/>
          <w:rtl/>
        </w:rPr>
        <w:t>הגמ</w:t>
      </w:r>
      <w:proofErr w:type="spellEnd"/>
      <w:r w:rsidR="00F2718E" w:rsidRPr="009141C3">
        <w:rPr>
          <w:rFonts w:asciiTheme="majorBidi" w:hAnsiTheme="majorBidi" w:cstheme="majorBidi"/>
          <w:sz w:val="24"/>
          <w:szCs w:val="24"/>
          <w:rtl/>
        </w:rPr>
        <w:t>' בזבחים הנ"ל שמבוא</w:t>
      </w:r>
      <w:r w:rsidR="00812EAC" w:rsidRPr="009141C3">
        <w:rPr>
          <w:rFonts w:asciiTheme="majorBidi" w:hAnsiTheme="majorBidi" w:cstheme="majorBidi"/>
          <w:sz w:val="24"/>
          <w:szCs w:val="24"/>
          <w:rtl/>
        </w:rPr>
        <w:t xml:space="preserve">ר בה שניוד הבהמות יעזור שלא ייחשב קבוע, אף שלכאורה הפרישה </w:t>
      </w:r>
      <w:proofErr w:type="spellStart"/>
      <w:r w:rsidR="00812EAC" w:rsidRPr="009141C3">
        <w:rPr>
          <w:rFonts w:asciiTheme="majorBidi" w:hAnsiTheme="majorBidi" w:cstheme="majorBidi"/>
          <w:sz w:val="24"/>
          <w:szCs w:val="24"/>
          <w:rtl/>
        </w:rPr>
        <w:t>היתה</w:t>
      </w:r>
      <w:proofErr w:type="spellEnd"/>
      <w:r w:rsidR="00812EAC" w:rsidRPr="009141C3">
        <w:rPr>
          <w:rFonts w:asciiTheme="majorBidi" w:hAnsiTheme="majorBidi" w:cstheme="majorBidi"/>
          <w:sz w:val="24"/>
          <w:szCs w:val="24"/>
          <w:rtl/>
        </w:rPr>
        <w:t xml:space="preserve"> בפנינו.  ובישוב קושיא זו מצאנו בראשונים כמה מהלכים:   א, כוונת </w:t>
      </w:r>
      <w:proofErr w:type="spellStart"/>
      <w:r w:rsidR="00812EAC" w:rsidRPr="009141C3">
        <w:rPr>
          <w:rFonts w:asciiTheme="majorBidi" w:hAnsiTheme="majorBidi" w:cstheme="majorBidi"/>
          <w:sz w:val="24"/>
          <w:szCs w:val="24"/>
          <w:rtl/>
        </w:rPr>
        <w:t>הגמ</w:t>
      </w:r>
      <w:proofErr w:type="spellEnd"/>
      <w:r w:rsidR="00812EAC" w:rsidRPr="009141C3">
        <w:rPr>
          <w:rFonts w:asciiTheme="majorBidi" w:hAnsiTheme="majorBidi" w:cstheme="majorBidi"/>
          <w:sz w:val="24"/>
          <w:szCs w:val="24"/>
          <w:rtl/>
        </w:rPr>
        <w:t>' שייעשה הניוד שלא בפנינו</w:t>
      </w:r>
      <w:r w:rsidR="00051892">
        <w:rPr>
          <w:rStyle w:val="a5"/>
          <w:rFonts w:asciiTheme="majorBidi" w:hAnsiTheme="majorBidi" w:cstheme="majorBidi"/>
          <w:sz w:val="24"/>
          <w:szCs w:val="24"/>
          <w:rtl/>
        </w:rPr>
        <w:footnoteReference w:id="2"/>
      </w:r>
      <w:r w:rsidR="00812EAC" w:rsidRPr="009141C3">
        <w:rPr>
          <w:rFonts w:asciiTheme="majorBidi" w:hAnsiTheme="majorBidi" w:cstheme="majorBidi"/>
          <w:sz w:val="24"/>
          <w:szCs w:val="24"/>
          <w:rtl/>
        </w:rPr>
        <w:t>.  ב, כיון שאינו ניכר הוי קבוע רק מדרבנן, והקלו בו</w:t>
      </w:r>
      <w:r w:rsidR="00051892">
        <w:rPr>
          <w:rStyle w:val="a5"/>
          <w:rFonts w:asciiTheme="majorBidi" w:hAnsiTheme="majorBidi" w:cstheme="majorBidi"/>
          <w:sz w:val="24"/>
          <w:szCs w:val="24"/>
          <w:rtl/>
        </w:rPr>
        <w:footnoteReference w:id="3"/>
      </w:r>
      <w:r w:rsidR="00812EAC" w:rsidRPr="009141C3">
        <w:rPr>
          <w:rFonts w:asciiTheme="majorBidi" w:hAnsiTheme="majorBidi" w:cstheme="majorBidi"/>
          <w:sz w:val="24"/>
          <w:szCs w:val="24"/>
          <w:rtl/>
        </w:rPr>
        <w:t xml:space="preserve">.  ג, כאשר התערובת כולה מתניידת ולא נשאר שום קבוע, יש להתיר גם כאשר </w:t>
      </w:r>
      <w:proofErr w:type="spellStart"/>
      <w:r w:rsidR="00812EAC" w:rsidRPr="009141C3">
        <w:rPr>
          <w:rFonts w:asciiTheme="majorBidi" w:hAnsiTheme="majorBidi" w:cstheme="majorBidi"/>
          <w:sz w:val="24"/>
          <w:szCs w:val="24"/>
          <w:rtl/>
        </w:rPr>
        <w:t>היתה</w:t>
      </w:r>
      <w:proofErr w:type="spellEnd"/>
      <w:r w:rsidR="00812EAC" w:rsidRPr="009141C3">
        <w:rPr>
          <w:rFonts w:asciiTheme="majorBidi" w:hAnsiTheme="majorBidi" w:cstheme="majorBidi"/>
          <w:sz w:val="24"/>
          <w:szCs w:val="24"/>
          <w:rtl/>
        </w:rPr>
        <w:t xml:space="preserve"> הפרישה בפנינו</w:t>
      </w:r>
      <w:r w:rsidR="00051892">
        <w:rPr>
          <w:rStyle w:val="a5"/>
          <w:rFonts w:asciiTheme="majorBidi" w:hAnsiTheme="majorBidi" w:cstheme="majorBidi"/>
          <w:sz w:val="24"/>
          <w:szCs w:val="24"/>
          <w:rtl/>
        </w:rPr>
        <w:footnoteReference w:id="4"/>
      </w:r>
      <w:r w:rsidR="00812EAC" w:rsidRPr="009141C3">
        <w:rPr>
          <w:rFonts w:asciiTheme="majorBidi" w:hAnsiTheme="majorBidi" w:cstheme="majorBidi"/>
          <w:sz w:val="24"/>
          <w:szCs w:val="24"/>
          <w:rtl/>
        </w:rPr>
        <w:t xml:space="preserve">.  ד, רק כאשר האיסור ניכר במקומו </w:t>
      </w:r>
      <w:proofErr w:type="spellStart"/>
      <w:r w:rsidR="00812EAC" w:rsidRPr="009141C3">
        <w:rPr>
          <w:rFonts w:asciiTheme="majorBidi" w:hAnsiTheme="majorBidi" w:cstheme="majorBidi"/>
          <w:sz w:val="24"/>
          <w:szCs w:val="24"/>
          <w:rtl/>
        </w:rPr>
        <w:t>אמרינן</w:t>
      </w:r>
      <w:proofErr w:type="spellEnd"/>
      <w:r w:rsidR="00812EAC" w:rsidRPr="009141C3">
        <w:rPr>
          <w:rFonts w:asciiTheme="majorBidi" w:hAnsiTheme="majorBidi" w:cstheme="majorBidi"/>
          <w:sz w:val="24"/>
          <w:szCs w:val="24"/>
          <w:rtl/>
        </w:rPr>
        <w:t xml:space="preserve"> שפירש בפנינו אסור (אף שעיקר דין קבוע נאמר גם כאשר לא ניכר האיסור)</w:t>
      </w:r>
      <w:r w:rsidR="00051892">
        <w:rPr>
          <w:rStyle w:val="a5"/>
          <w:rFonts w:asciiTheme="majorBidi" w:hAnsiTheme="majorBidi" w:cstheme="majorBidi"/>
          <w:sz w:val="24"/>
          <w:szCs w:val="24"/>
          <w:rtl/>
        </w:rPr>
        <w:footnoteReference w:id="5"/>
      </w:r>
      <w:r w:rsidR="00812EAC" w:rsidRPr="009141C3">
        <w:rPr>
          <w:rFonts w:asciiTheme="majorBidi" w:hAnsiTheme="majorBidi" w:cstheme="majorBidi"/>
          <w:sz w:val="24"/>
          <w:szCs w:val="24"/>
          <w:rtl/>
        </w:rPr>
        <w:t xml:space="preserve">.  ה, מעיקר הדין פירש בפנינו מותר,  ורק לקיחה ממקום הקביעות אסורה, וכל מה שפירש בפנינו נאסר הוא לאחר מסקנת </w:t>
      </w:r>
      <w:proofErr w:type="spellStart"/>
      <w:r w:rsidR="00812EAC" w:rsidRPr="009141C3">
        <w:rPr>
          <w:rFonts w:asciiTheme="majorBidi" w:hAnsiTheme="majorBidi" w:cstheme="majorBidi"/>
          <w:sz w:val="24"/>
          <w:szCs w:val="24"/>
          <w:rtl/>
        </w:rPr>
        <w:t>הגמ</w:t>
      </w:r>
      <w:proofErr w:type="spellEnd"/>
      <w:r w:rsidR="00812EAC" w:rsidRPr="009141C3">
        <w:rPr>
          <w:rFonts w:asciiTheme="majorBidi" w:hAnsiTheme="majorBidi" w:cstheme="majorBidi"/>
          <w:sz w:val="24"/>
          <w:szCs w:val="24"/>
          <w:rtl/>
        </w:rPr>
        <w:t>' בזבחים שישנה גזירה שמא ייקח מהקבוע</w:t>
      </w:r>
      <w:r w:rsidR="00051892">
        <w:rPr>
          <w:rStyle w:val="a5"/>
          <w:rFonts w:asciiTheme="majorBidi" w:hAnsiTheme="majorBidi" w:cstheme="majorBidi"/>
          <w:sz w:val="24"/>
          <w:szCs w:val="24"/>
          <w:rtl/>
        </w:rPr>
        <w:footnoteReference w:id="6"/>
      </w:r>
      <w:r w:rsidR="00812EAC" w:rsidRPr="009141C3">
        <w:rPr>
          <w:rFonts w:asciiTheme="majorBidi" w:hAnsiTheme="majorBidi" w:cstheme="majorBidi"/>
          <w:sz w:val="24"/>
          <w:szCs w:val="24"/>
          <w:rtl/>
        </w:rPr>
        <w:t>.</w:t>
      </w:r>
    </w:p>
    <w:p w:rsidR="00812EAC" w:rsidRPr="009141C3" w:rsidRDefault="00812EAC" w:rsidP="009141C3">
      <w:pPr>
        <w:jc w:val="both"/>
        <w:rPr>
          <w:rFonts w:asciiTheme="majorBidi" w:hAnsiTheme="majorBidi" w:cstheme="majorBidi"/>
          <w:sz w:val="24"/>
          <w:szCs w:val="24"/>
          <w:rtl/>
        </w:rPr>
      </w:pPr>
    </w:p>
    <w:p w:rsidR="00812EAC" w:rsidRPr="009141C3" w:rsidRDefault="00812EAC" w:rsidP="009141C3">
      <w:pPr>
        <w:jc w:val="both"/>
        <w:rPr>
          <w:rFonts w:asciiTheme="majorBidi" w:hAnsiTheme="majorBidi" w:cstheme="majorBidi"/>
          <w:b/>
          <w:bCs/>
          <w:sz w:val="24"/>
          <w:szCs w:val="24"/>
          <w:rtl/>
        </w:rPr>
      </w:pPr>
      <w:r w:rsidRPr="009141C3">
        <w:rPr>
          <w:rFonts w:asciiTheme="majorBidi" w:hAnsiTheme="majorBidi" w:cstheme="majorBidi"/>
          <w:b/>
          <w:bCs/>
          <w:sz w:val="24"/>
          <w:szCs w:val="24"/>
          <w:rtl/>
        </w:rPr>
        <w:t>ה, דין 'קבוע' בביטול ברוב</w:t>
      </w:r>
    </w:p>
    <w:p w:rsidR="00B42EC6" w:rsidRPr="009141C3" w:rsidRDefault="00C54C1D" w:rsidP="00516261">
      <w:pPr>
        <w:jc w:val="both"/>
        <w:rPr>
          <w:rFonts w:asciiTheme="majorBidi" w:hAnsiTheme="majorBidi" w:cstheme="majorBidi"/>
          <w:sz w:val="24"/>
          <w:szCs w:val="24"/>
          <w:rtl/>
        </w:rPr>
      </w:pPr>
      <w:r w:rsidRPr="009141C3">
        <w:rPr>
          <w:rFonts w:asciiTheme="majorBidi" w:hAnsiTheme="majorBidi" w:cstheme="majorBidi"/>
          <w:sz w:val="24"/>
          <w:szCs w:val="24"/>
          <w:rtl/>
        </w:rPr>
        <w:t xml:space="preserve">הנה מה שמצאנו בסוגיות את ההלכה של קבוע, הוא רק לגבי הלכתא </w:t>
      </w:r>
      <w:proofErr w:type="spellStart"/>
      <w:r w:rsidRPr="009141C3">
        <w:rPr>
          <w:rFonts w:asciiTheme="majorBidi" w:hAnsiTheme="majorBidi" w:cstheme="majorBidi"/>
          <w:sz w:val="24"/>
          <w:szCs w:val="24"/>
          <w:rtl/>
        </w:rPr>
        <w:t>דהולכין</w:t>
      </w:r>
      <w:proofErr w:type="spellEnd"/>
      <w:r w:rsidRPr="009141C3">
        <w:rPr>
          <w:rFonts w:asciiTheme="majorBidi" w:hAnsiTheme="majorBidi" w:cstheme="majorBidi"/>
          <w:sz w:val="24"/>
          <w:szCs w:val="24"/>
          <w:rtl/>
        </w:rPr>
        <w:t xml:space="preserve"> אחר הרוב. ובפשטות </w:t>
      </w:r>
      <w:proofErr w:type="spellStart"/>
      <w:r w:rsidRPr="009141C3">
        <w:rPr>
          <w:rFonts w:asciiTheme="majorBidi" w:hAnsiTheme="majorBidi" w:cstheme="majorBidi"/>
          <w:sz w:val="24"/>
          <w:szCs w:val="24"/>
          <w:rtl/>
        </w:rPr>
        <w:t>הגמ</w:t>
      </w:r>
      <w:proofErr w:type="spellEnd"/>
      <w:r w:rsidRPr="009141C3">
        <w:rPr>
          <w:rFonts w:asciiTheme="majorBidi" w:hAnsiTheme="majorBidi" w:cstheme="majorBidi"/>
          <w:sz w:val="24"/>
          <w:szCs w:val="24"/>
          <w:rtl/>
        </w:rPr>
        <w:t xml:space="preserve">' בזבחים משמע שלגבי ביטול ברוב לא שייכת הלכה זו שהרי לא תירצה </w:t>
      </w:r>
      <w:proofErr w:type="spellStart"/>
      <w:r w:rsidRPr="009141C3">
        <w:rPr>
          <w:rFonts w:asciiTheme="majorBidi" w:hAnsiTheme="majorBidi" w:cstheme="majorBidi"/>
          <w:sz w:val="24"/>
          <w:szCs w:val="24"/>
          <w:rtl/>
        </w:rPr>
        <w:t>הגמ</w:t>
      </w:r>
      <w:proofErr w:type="spellEnd"/>
      <w:r w:rsidRPr="009141C3">
        <w:rPr>
          <w:rFonts w:asciiTheme="majorBidi" w:hAnsiTheme="majorBidi" w:cstheme="majorBidi"/>
          <w:sz w:val="24"/>
          <w:szCs w:val="24"/>
          <w:rtl/>
        </w:rPr>
        <w:t>' שאין כאן ביטול ברוב משום שהוי קבוע, למרות שאח"כ לגבי הלך אחר הרוב מבואר בגמ' שהוי קבוע.</w:t>
      </w:r>
      <w:r w:rsidR="00516261">
        <w:rPr>
          <w:rFonts w:asciiTheme="majorBidi" w:hAnsiTheme="majorBidi" w:cstheme="majorBidi" w:hint="cs"/>
          <w:sz w:val="24"/>
          <w:szCs w:val="24"/>
          <w:rtl/>
        </w:rPr>
        <w:t xml:space="preserve">      </w:t>
      </w:r>
      <w:r w:rsidRPr="009141C3">
        <w:rPr>
          <w:rFonts w:asciiTheme="majorBidi" w:hAnsiTheme="majorBidi" w:cstheme="majorBidi"/>
          <w:sz w:val="24"/>
          <w:szCs w:val="24"/>
          <w:rtl/>
        </w:rPr>
        <w:t xml:space="preserve">אמנם בדברי כמה מרבותינו הראשונים מבואר </w:t>
      </w:r>
      <w:proofErr w:type="spellStart"/>
      <w:r w:rsidRPr="009141C3">
        <w:rPr>
          <w:rFonts w:asciiTheme="majorBidi" w:hAnsiTheme="majorBidi" w:cstheme="majorBidi"/>
          <w:sz w:val="24"/>
          <w:szCs w:val="24"/>
          <w:rtl/>
        </w:rPr>
        <w:t>שהוה</w:t>
      </w:r>
      <w:proofErr w:type="spellEnd"/>
      <w:r w:rsidRPr="009141C3">
        <w:rPr>
          <w:rFonts w:asciiTheme="majorBidi" w:hAnsiTheme="majorBidi" w:cstheme="majorBidi"/>
          <w:sz w:val="24"/>
          <w:szCs w:val="24"/>
          <w:rtl/>
        </w:rPr>
        <w:t xml:space="preserve"> פשיטא להו </w:t>
      </w:r>
      <w:r w:rsidR="00197090" w:rsidRPr="009141C3">
        <w:rPr>
          <w:rFonts w:asciiTheme="majorBidi" w:hAnsiTheme="majorBidi" w:cstheme="majorBidi"/>
          <w:sz w:val="24"/>
          <w:szCs w:val="24"/>
          <w:rtl/>
        </w:rPr>
        <w:t xml:space="preserve">שהגדרת קבוע, כמו שמונעת הלך אחר הרוב, כך מונעת גם ביטול ברוב.  ולשיטתם שאלו, </w:t>
      </w:r>
      <w:proofErr w:type="spellStart"/>
      <w:r w:rsidR="00197090" w:rsidRPr="009141C3">
        <w:rPr>
          <w:rFonts w:asciiTheme="majorBidi" w:hAnsiTheme="majorBidi" w:cstheme="majorBidi"/>
          <w:sz w:val="24"/>
          <w:szCs w:val="24"/>
          <w:rtl/>
        </w:rPr>
        <w:t>דלעולם</w:t>
      </w:r>
      <w:proofErr w:type="spellEnd"/>
      <w:r w:rsidR="00197090" w:rsidRPr="009141C3">
        <w:rPr>
          <w:rFonts w:asciiTheme="majorBidi" w:hAnsiTheme="majorBidi" w:cstheme="majorBidi"/>
          <w:sz w:val="24"/>
          <w:szCs w:val="24"/>
          <w:rtl/>
        </w:rPr>
        <w:t xml:space="preserve"> לא יהיה ביטול </w:t>
      </w:r>
      <w:r w:rsidR="00197090" w:rsidRPr="009141C3">
        <w:rPr>
          <w:rFonts w:asciiTheme="majorBidi" w:hAnsiTheme="majorBidi" w:cstheme="majorBidi"/>
          <w:sz w:val="24"/>
          <w:szCs w:val="24"/>
          <w:rtl/>
        </w:rPr>
        <w:lastRenderedPageBreak/>
        <w:t xml:space="preserve">ברוב, מחמת דין קבוע, ותירצו בזה </w:t>
      </w:r>
      <w:proofErr w:type="spellStart"/>
      <w:r w:rsidR="00197090" w:rsidRPr="009141C3">
        <w:rPr>
          <w:rFonts w:asciiTheme="majorBidi" w:hAnsiTheme="majorBidi" w:cstheme="majorBidi"/>
          <w:sz w:val="24"/>
          <w:szCs w:val="24"/>
          <w:rtl/>
        </w:rPr>
        <w:t>בתרתי</w:t>
      </w:r>
      <w:proofErr w:type="spellEnd"/>
      <w:r w:rsidR="00197090" w:rsidRPr="009141C3">
        <w:rPr>
          <w:rFonts w:asciiTheme="majorBidi" w:hAnsiTheme="majorBidi" w:cstheme="majorBidi"/>
          <w:sz w:val="24"/>
          <w:szCs w:val="24"/>
          <w:rtl/>
        </w:rPr>
        <w:t xml:space="preserve">: </w:t>
      </w:r>
      <w:r w:rsidR="00F773C3" w:rsidRPr="009141C3">
        <w:rPr>
          <w:rFonts w:asciiTheme="majorBidi" w:hAnsiTheme="majorBidi" w:cstheme="majorBidi"/>
          <w:sz w:val="24"/>
          <w:szCs w:val="24"/>
          <w:rtl/>
        </w:rPr>
        <w:t>א, כאשר אינו ניכר, אינו מוגדר קבוע.</w:t>
      </w:r>
      <w:r w:rsidR="00051892">
        <w:rPr>
          <w:rStyle w:val="a5"/>
          <w:rFonts w:asciiTheme="majorBidi" w:hAnsiTheme="majorBidi" w:cstheme="majorBidi"/>
          <w:sz w:val="24"/>
          <w:szCs w:val="24"/>
          <w:rtl/>
        </w:rPr>
        <w:footnoteReference w:id="7"/>
      </w:r>
      <w:r w:rsidR="00F773C3" w:rsidRPr="009141C3">
        <w:rPr>
          <w:rFonts w:asciiTheme="majorBidi" w:hAnsiTheme="majorBidi" w:cstheme="majorBidi"/>
          <w:sz w:val="24"/>
          <w:szCs w:val="24"/>
          <w:rtl/>
        </w:rPr>
        <w:t xml:space="preserve">  ב, עצם הביטול מגדיר שלא הוי קבוע (וצ"ע, היאך מתחיל הביטול אם לולי הביטול מוגדר קבוע, ואולי הוי מעין 'באין כאחת', </w:t>
      </w:r>
      <w:proofErr w:type="spellStart"/>
      <w:r w:rsidR="00F773C3" w:rsidRPr="009141C3">
        <w:rPr>
          <w:rFonts w:asciiTheme="majorBidi" w:hAnsiTheme="majorBidi" w:cstheme="majorBidi"/>
          <w:sz w:val="24"/>
          <w:szCs w:val="24"/>
          <w:rtl/>
        </w:rPr>
        <w:t>דכיון</w:t>
      </w:r>
      <w:proofErr w:type="spellEnd"/>
      <w:r w:rsidR="00F773C3" w:rsidRPr="009141C3">
        <w:rPr>
          <w:rFonts w:asciiTheme="majorBidi" w:hAnsiTheme="majorBidi" w:cstheme="majorBidi"/>
          <w:sz w:val="24"/>
          <w:szCs w:val="24"/>
          <w:rtl/>
        </w:rPr>
        <w:t xml:space="preserve"> שאם יתבטל, לא תהיה לו חשיבות, ממילא אין </w:t>
      </w:r>
      <w:proofErr w:type="spellStart"/>
      <w:r w:rsidR="00F773C3" w:rsidRPr="009141C3">
        <w:rPr>
          <w:rFonts w:asciiTheme="majorBidi" w:hAnsiTheme="majorBidi" w:cstheme="majorBidi"/>
          <w:sz w:val="24"/>
          <w:szCs w:val="24"/>
          <w:rtl/>
        </w:rPr>
        <w:t>בכח</w:t>
      </w:r>
      <w:proofErr w:type="spellEnd"/>
      <w:r w:rsidR="00F773C3" w:rsidRPr="009141C3">
        <w:rPr>
          <w:rFonts w:asciiTheme="majorBidi" w:hAnsiTheme="majorBidi" w:cstheme="majorBidi"/>
          <w:sz w:val="24"/>
          <w:szCs w:val="24"/>
          <w:rtl/>
        </w:rPr>
        <w:t xml:space="preserve"> החשיבות למנוע את הביטול)</w:t>
      </w:r>
      <w:r w:rsidR="00051892">
        <w:rPr>
          <w:rStyle w:val="a5"/>
          <w:rFonts w:asciiTheme="majorBidi" w:hAnsiTheme="majorBidi" w:cstheme="majorBidi"/>
          <w:sz w:val="24"/>
          <w:szCs w:val="24"/>
          <w:rtl/>
        </w:rPr>
        <w:footnoteReference w:id="8"/>
      </w:r>
      <w:r w:rsidR="00F773C3" w:rsidRPr="009141C3">
        <w:rPr>
          <w:rFonts w:asciiTheme="majorBidi" w:hAnsiTheme="majorBidi" w:cstheme="majorBidi"/>
          <w:sz w:val="24"/>
          <w:szCs w:val="24"/>
          <w:rtl/>
        </w:rPr>
        <w:t>.</w:t>
      </w:r>
      <w:r w:rsidR="00516261">
        <w:rPr>
          <w:rFonts w:asciiTheme="majorBidi" w:hAnsiTheme="majorBidi" w:cstheme="majorBidi" w:hint="cs"/>
          <w:sz w:val="24"/>
          <w:szCs w:val="24"/>
          <w:rtl/>
        </w:rPr>
        <w:t xml:space="preserve">      </w:t>
      </w:r>
      <w:r w:rsidR="00B42EC6" w:rsidRPr="009141C3">
        <w:rPr>
          <w:rFonts w:asciiTheme="majorBidi" w:hAnsiTheme="majorBidi" w:cstheme="majorBidi"/>
          <w:sz w:val="24"/>
          <w:szCs w:val="24"/>
          <w:rtl/>
        </w:rPr>
        <w:t xml:space="preserve">ובדברי </w:t>
      </w:r>
      <w:proofErr w:type="spellStart"/>
      <w:r w:rsidR="00B42EC6" w:rsidRPr="009141C3">
        <w:rPr>
          <w:rFonts w:asciiTheme="majorBidi" w:hAnsiTheme="majorBidi" w:cstheme="majorBidi"/>
          <w:sz w:val="24"/>
          <w:szCs w:val="24"/>
          <w:rtl/>
        </w:rPr>
        <w:t>הפמ"</w:t>
      </w:r>
      <w:r w:rsidR="00F92AEC" w:rsidRPr="009141C3">
        <w:rPr>
          <w:rFonts w:asciiTheme="majorBidi" w:hAnsiTheme="majorBidi" w:cstheme="majorBidi"/>
          <w:sz w:val="24"/>
          <w:szCs w:val="24"/>
          <w:rtl/>
        </w:rPr>
        <w:t>ג</w:t>
      </w:r>
      <w:proofErr w:type="spellEnd"/>
      <w:r w:rsidR="00AB1139" w:rsidRPr="009141C3">
        <w:rPr>
          <w:rFonts w:asciiTheme="majorBidi" w:hAnsiTheme="majorBidi" w:cstheme="majorBidi"/>
          <w:sz w:val="24"/>
          <w:szCs w:val="24"/>
          <w:rtl/>
        </w:rPr>
        <w:t xml:space="preserve"> מצאנו יתר על כן, שאף שאר הנהגות הספקות כמו חזקה </w:t>
      </w:r>
      <w:proofErr w:type="spellStart"/>
      <w:r w:rsidR="00AB1139" w:rsidRPr="009141C3">
        <w:rPr>
          <w:rFonts w:asciiTheme="majorBidi" w:hAnsiTheme="majorBidi" w:cstheme="majorBidi"/>
          <w:sz w:val="24"/>
          <w:szCs w:val="24"/>
          <w:rtl/>
        </w:rPr>
        <w:t>דמעיקרא</w:t>
      </w:r>
      <w:proofErr w:type="spellEnd"/>
      <w:r w:rsidR="00AB1139" w:rsidRPr="009141C3">
        <w:rPr>
          <w:rFonts w:asciiTheme="majorBidi" w:hAnsiTheme="majorBidi" w:cstheme="majorBidi"/>
          <w:sz w:val="24"/>
          <w:szCs w:val="24"/>
          <w:rtl/>
        </w:rPr>
        <w:t>, לא ינהגו בדברים המוגדרים קבועים.  [והיינו, שלא רק שהתחדש בקבוע שגדרו כמחצה ולא שייך בו הנהגות הרוב, אלא התחדש שהוא צד חשוב של איסור, שלא שייך להתיר אותו על ידי שום הנהגה.]</w:t>
      </w:r>
    </w:p>
    <w:p w:rsidR="00AB1139" w:rsidRPr="009141C3" w:rsidRDefault="00AB1139" w:rsidP="009141C3">
      <w:pPr>
        <w:jc w:val="both"/>
        <w:rPr>
          <w:rFonts w:asciiTheme="majorBidi" w:hAnsiTheme="majorBidi" w:cstheme="majorBidi"/>
          <w:sz w:val="24"/>
          <w:szCs w:val="24"/>
          <w:rtl/>
        </w:rPr>
      </w:pPr>
      <w:r w:rsidRPr="009141C3">
        <w:rPr>
          <w:rFonts w:asciiTheme="majorBidi" w:hAnsiTheme="majorBidi" w:cstheme="majorBidi"/>
          <w:sz w:val="24"/>
          <w:szCs w:val="24"/>
          <w:rtl/>
        </w:rPr>
        <w:t>וראה לעיל באות ב' כמה צדדים בגדר הדין של קבוע, ולאותן שיטות שנוהג גם בשאר ההלכות, ודאי שהיא הלכה של חשיבות</w:t>
      </w:r>
      <w:r w:rsidR="00051892">
        <w:rPr>
          <w:rFonts w:asciiTheme="majorBidi" w:hAnsiTheme="majorBidi" w:cstheme="majorBidi" w:hint="cs"/>
          <w:sz w:val="24"/>
          <w:szCs w:val="24"/>
          <w:rtl/>
        </w:rPr>
        <w:t xml:space="preserve"> צד האיסור</w:t>
      </w:r>
      <w:r w:rsidRPr="009141C3">
        <w:rPr>
          <w:rFonts w:asciiTheme="majorBidi" w:hAnsiTheme="majorBidi" w:cstheme="majorBidi"/>
          <w:sz w:val="24"/>
          <w:szCs w:val="24"/>
          <w:rtl/>
        </w:rPr>
        <w:t>.</w:t>
      </w:r>
    </w:p>
    <w:p w:rsidR="00AB1139" w:rsidRPr="009141C3" w:rsidRDefault="00AB1139" w:rsidP="009141C3">
      <w:pPr>
        <w:jc w:val="both"/>
        <w:rPr>
          <w:rFonts w:asciiTheme="majorBidi" w:hAnsiTheme="majorBidi" w:cstheme="majorBidi"/>
          <w:sz w:val="24"/>
          <w:szCs w:val="24"/>
          <w:rtl/>
        </w:rPr>
      </w:pPr>
    </w:p>
    <w:p w:rsidR="0035220A" w:rsidRPr="009141C3" w:rsidRDefault="0063631E" w:rsidP="009141C3">
      <w:pPr>
        <w:jc w:val="both"/>
        <w:rPr>
          <w:rFonts w:asciiTheme="majorBidi" w:hAnsiTheme="majorBidi" w:cstheme="majorBidi"/>
          <w:b/>
          <w:bCs/>
          <w:sz w:val="24"/>
          <w:szCs w:val="24"/>
          <w:rtl/>
        </w:rPr>
      </w:pPr>
      <w:r w:rsidRPr="009141C3">
        <w:rPr>
          <w:rFonts w:asciiTheme="majorBidi" w:hAnsiTheme="majorBidi" w:cstheme="majorBidi"/>
          <w:b/>
          <w:bCs/>
          <w:sz w:val="24"/>
          <w:szCs w:val="24"/>
          <w:rtl/>
        </w:rPr>
        <w:t xml:space="preserve">ו, </w:t>
      </w:r>
      <w:proofErr w:type="spellStart"/>
      <w:r w:rsidRPr="009141C3">
        <w:rPr>
          <w:rFonts w:asciiTheme="majorBidi" w:hAnsiTheme="majorBidi" w:cstheme="majorBidi"/>
          <w:b/>
          <w:bCs/>
          <w:sz w:val="24"/>
          <w:szCs w:val="24"/>
          <w:rtl/>
        </w:rPr>
        <w:t>הסוגיא</w:t>
      </w:r>
      <w:proofErr w:type="spellEnd"/>
      <w:r w:rsidRPr="009141C3">
        <w:rPr>
          <w:rFonts w:asciiTheme="majorBidi" w:hAnsiTheme="majorBidi" w:cstheme="majorBidi"/>
          <w:b/>
          <w:bCs/>
          <w:sz w:val="24"/>
          <w:szCs w:val="24"/>
          <w:rtl/>
        </w:rPr>
        <w:t xml:space="preserve"> בנזיר</w:t>
      </w:r>
    </w:p>
    <w:p w:rsidR="00DC30C4" w:rsidRDefault="00BB5539" w:rsidP="00516261">
      <w:pPr>
        <w:jc w:val="both"/>
        <w:rPr>
          <w:rFonts w:asciiTheme="majorBidi" w:hAnsiTheme="majorBidi" w:cstheme="majorBidi"/>
          <w:sz w:val="24"/>
          <w:szCs w:val="24"/>
          <w:rtl/>
        </w:rPr>
      </w:pPr>
      <w:proofErr w:type="spellStart"/>
      <w:r w:rsidRPr="009141C3">
        <w:rPr>
          <w:rFonts w:asciiTheme="majorBidi" w:hAnsiTheme="majorBidi" w:cstheme="majorBidi"/>
          <w:sz w:val="24"/>
          <w:szCs w:val="24"/>
          <w:rtl/>
        </w:rPr>
        <w:t>הסוגיא</w:t>
      </w:r>
      <w:proofErr w:type="spellEnd"/>
      <w:r w:rsidRPr="009141C3">
        <w:rPr>
          <w:rFonts w:asciiTheme="majorBidi" w:hAnsiTheme="majorBidi" w:cstheme="majorBidi"/>
          <w:sz w:val="24"/>
          <w:szCs w:val="24"/>
          <w:rtl/>
        </w:rPr>
        <w:t xml:space="preserve"> בנזיר עוסקת בדין של השולח שליח לקדש לו אישה אסור בכל הנשים שבעולם שמא קרובותיה הן. ומבואר בגמ' שהסיבה שלא הולכים אחר הרוב הוא משום </w:t>
      </w:r>
      <w:proofErr w:type="spellStart"/>
      <w:r w:rsidRPr="009141C3">
        <w:rPr>
          <w:rFonts w:asciiTheme="majorBidi" w:hAnsiTheme="majorBidi" w:cstheme="majorBidi"/>
          <w:sz w:val="24"/>
          <w:szCs w:val="24"/>
          <w:rtl/>
        </w:rPr>
        <w:t>שהאשה</w:t>
      </w:r>
      <w:proofErr w:type="spellEnd"/>
      <w:r w:rsidRPr="009141C3">
        <w:rPr>
          <w:rFonts w:asciiTheme="majorBidi" w:hAnsiTheme="majorBidi" w:cstheme="majorBidi"/>
          <w:sz w:val="24"/>
          <w:szCs w:val="24"/>
          <w:rtl/>
        </w:rPr>
        <w:t xml:space="preserve"> קבועה בביתה היא. ודנה </w:t>
      </w:r>
      <w:proofErr w:type="spellStart"/>
      <w:r w:rsidRPr="009141C3">
        <w:rPr>
          <w:rFonts w:asciiTheme="majorBidi" w:hAnsiTheme="majorBidi" w:cstheme="majorBidi"/>
          <w:sz w:val="24"/>
          <w:szCs w:val="24"/>
          <w:rtl/>
        </w:rPr>
        <w:t>הגמ</w:t>
      </w:r>
      <w:proofErr w:type="spellEnd"/>
      <w:r w:rsidRPr="009141C3">
        <w:rPr>
          <w:rFonts w:asciiTheme="majorBidi" w:hAnsiTheme="majorBidi" w:cstheme="majorBidi"/>
          <w:sz w:val="24"/>
          <w:szCs w:val="24"/>
          <w:rtl/>
        </w:rPr>
        <w:t xml:space="preserve">' </w:t>
      </w:r>
      <w:proofErr w:type="spellStart"/>
      <w:r w:rsidRPr="009141C3">
        <w:rPr>
          <w:rFonts w:asciiTheme="majorBidi" w:hAnsiTheme="majorBidi" w:cstheme="majorBidi"/>
          <w:sz w:val="24"/>
          <w:szCs w:val="24"/>
          <w:rtl/>
        </w:rPr>
        <w:t>אמאי</w:t>
      </w:r>
      <w:proofErr w:type="spellEnd"/>
      <w:r w:rsidRPr="009141C3">
        <w:rPr>
          <w:rFonts w:asciiTheme="majorBidi" w:hAnsiTheme="majorBidi" w:cstheme="majorBidi"/>
          <w:sz w:val="24"/>
          <w:szCs w:val="24"/>
          <w:rtl/>
        </w:rPr>
        <w:t xml:space="preserve"> לא נתיר כאשר הקידושין היו בשוק. והתפרשו בראשונים שני פירושים לגבי אלו קידושין מדברת </w:t>
      </w:r>
      <w:proofErr w:type="spellStart"/>
      <w:r w:rsidRPr="009141C3">
        <w:rPr>
          <w:rFonts w:asciiTheme="majorBidi" w:hAnsiTheme="majorBidi" w:cstheme="majorBidi"/>
          <w:sz w:val="24"/>
          <w:szCs w:val="24"/>
          <w:rtl/>
        </w:rPr>
        <w:t>הגמ</w:t>
      </w:r>
      <w:proofErr w:type="spellEnd"/>
      <w:r w:rsidRPr="009141C3">
        <w:rPr>
          <w:rFonts w:asciiTheme="majorBidi" w:hAnsiTheme="majorBidi" w:cstheme="majorBidi"/>
          <w:sz w:val="24"/>
          <w:szCs w:val="24"/>
          <w:rtl/>
        </w:rPr>
        <w:t xml:space="preserve">'. המפרש </w:t>
      </w:r>
      <w:proofErr w:type="spellStart"/>
      <w:r w:rsidRPr="009141C3">
        <w:rPr>
          <w:rFonts w:asciiTheme="majorBidi" w:hAnsiTheme="majorBidi" w:cstheme="majorBidi"/>
          <w:sz w:val="24"/>
          <w:szCs w:val="24"/>
          <w:rtl/>
        </w:rPr>
        <w:t>ותוס</w:t>
      </w:r>
      <w:proofErr w:type="spellEnd"/>
      <w:r w:rsidRPr="009141C3">
        <w:rPr>
          <w:rFonts w:asciiTheme="majorBidi" w:hAnsiTheme="majorBidi" w:cstheme="majorBidi"/>
          <w:sz w:val="24"/>
          <w:szCs w:val="24"/>
          <w:rtl/>
        </w:rPr>
        <w:t xml:space="preserve">' שם פירשו </w:t>
      </w:r>
      <w:proofErr w:type="spellStart"/>
      <w:r w:rsidRPr="009141C3">
        <w:rPr>
          <w:rFonts w:asciiTheme="majorBidi" w:hAnsiTheme="majorBidi" w:cstheme="majorBidi"/>
          <w:sz w:val="24"/>
          <w:szCs w:val="24"/>
          <w:rtl/>
        </w:rPr>
        <w:t>דמיירי</w:t>
      </w:r>
      <w:proofErr w:type="spellEnd"/>
      <w:r w:rsidRPr="009141C3">
        <w:rPr>
          <w:rFonts w:asciiTheme="majorBidi" w:hAnsiTheme="majorBidi" w:cstheme="majorBidi"/>
          <w:sz w:val="24"/>
          <w:szCs w:val="24"/>
          <w:rtl/>
        </w:rPr>
        <w:t xml:space="preserve"> לגבי </w:t>
      </w:r>
      <w:proofErr w:type="spellStart"/>
      <w:r w:rsidRPr="009141C3">
        <w:rPr>
          <w:rFonts w:asciiTheme="majorBidi" w:hAnsiTheme="majorBidi" w:cstheme="majorBidi"/>
          <w:sz w:val="24"/>
          <w:szCs w:val="24"/>
          <w:rtl/>
        </w:rPr>
        <w:t>האשה</w:t>
      </w:r>
      <w:proofErr w:type="spellEnd"/>
      <w:r w:rsidRPr="009141C3">
        <w:rPr>
          <w:rFonts w:asciiTheme="majorBidi" w:hAnsiTheme="majorBidi" w:cstheme="majorBidi"/>
          <w:sz w:val="24"/>
          <w:szCs w:val="24"/>
          <w:rtl/>
        </w:rPr>
        <w:t xml:space="preserve"> שכעת בא הבעל לקדש. ואילו </w:t>
      </w:r>
      <w:proofErr w:type="spellStart"/>
      <w:r w:rsidRPr="009141C3">
        <w:rPr>
          <w:rFonts w:asciiTheme="majorBidi" w:hAnsiTheme="majorBidi" w:cstheme="majorBidi"/>
          <w:sz w:val="24"/>
          <w:szCs w:val="24"/>
          <w:rtl/>
        </w:rPr>
        <w:t>הרא"ש</w:t>
      </w:r>
      <w:proofErr w:type="spellEnd"/>
      <w:r w:rsidRPr="009141C3">
        <w:rPr>
          <w:rFonts w:asciiTheme="majorBidi" w:hAnsiTheme="majorBidi" w:cstheme="majorBidi"/>
          <w:sz w:val="24"/>
          <w:szCs w:val="24"/>
          <w:rtl/>
        </w:rPr>
        <w:t xml:space="preserve"> שם </w:t>
      </w:r>
      <w:proofErr w:type="spellStart"/>
      <w:r w:rsidRPr="009141C3">
        <w:rPr>
          <w:rFonts w:asciiTheme="majorBidi" w:hAnsiTheme="majorBidi" w:cstheme="majorBidi"/>
          <w:sz w:val="24"/>
          <w:szCs w:val="24"/>
          <w:rtl/>
        </w:rPr>
        <w:t>ותוס</w:t>
      </w:r>
      <w:proofErr w:type="spellEnd"/>
      <w:r w:rsidRPr="009141C3">
        <w:rPr>
          <w:rFonts w:asciiTheme="majorBidi" w:hAnsiTheme="majorBidi" w:cstheme="majorBidi"/>
          <w:sz w:val="24"/>
          <w:szCs w:val="24"/>
          <w:rtl/>
        </w:rPr>
        <w:t xml:space="preserve">' בכתובות פירשו שהנושא הוא לגבי </w:t>
      </w:r>
      <w:proofErr w:type="spellStart"/>
      <w:r w:rsidRPr="009141C3">
        <w:rPr>
          <w:rFonts w:asciiTheme="majorBidi" w:hAnsiTheme="majorBidi" w:cstheme="majorBidi"/>
          <w:sz w:val="24"/>
          <w:szCs w:val="24"/>
          <w:rtl/>
        </w:rPr>
        <w:t>האשה</w:t>
      </w:r>
      <w:proofErr w:type="spellEnd"/>
      <w:r w:rsidRPr="009141C3">
        <w:rPr>
          <w:rFonts w:asciiTheme="majorBidi" w:hAnsiTheme="majorBidi" w:cstheme="majorBidi"/>
          <w:sz w:val="24"/>
          <w:szCs w:val="24"/>
          <w:rtl/>
        </w:rPr>
        <w:t xml:space="preserve"> שכבר התקדשה עי' היטב בכל דבריהם.</w:t>
      </w:r>
      <w:r w:rsidR="00DC30C4" w:rsidRPr="009141C3">
        <w:rPr>
          <w:rFonts w:asciiTheme="majorBidi" w:hAnsiTheme="majorBidi" w:cstheme="majorBidi"/>
          <w:sz w:val="24"/>
          <w:szCs w:val="24"/>
          <w:rtl/>
        </w:rPr>
        <w:t xml:space="preserve"> [ויש לדון אם המחלוקת בין הפירושים היא בהלכות קבוע או שמא בשאלה אחר איזה רוב נכון ללכת כאן, אחר רוב נשים שאינם קרובות או אחר רוב נשים שאינן מקודשות.]</w:t>
      </w:r>
      <w:r w:rsidR="00516261">
        <w:rPr>
          <w:rFonts w:asciiTheme="majorBidi" w:hAnsiTheme="majorBidi" w:cstheme="majorBidi" w:hint="cs"/>
          <w:sz w:val="24"/>
          <w:szCs w:val="24"/>
          <w:rtl/>
        </w:rPr>
        <w:t xml:space="preserve">       </w:t>
      </w:r>
      <w:r w:rsidR="00DC30C4" w:rsidRPr="009141C3">
        <w:rPr>
          <w:rFonts w:asciiTheme="majorBidi" w:hAnsiTheme="majorBidi" w:cstheme="majorBidi"/>
          <w:sz w:val="24"/>
          <w:szCs w:val="24"/>
          <w:rtl/>
        </w:rPr>
        <w:t xml:space="preserve">והנה לפירוש המפרש </w:t>
      </w:r>
      <w:proofErr w:type="spellStart"/>
      <w:r w:rsidR="00DC30C4" w:rsidRPr="009141C3">
        <w:rPr>
          <w:rFonts w:asciiTheme="majorBidi" w:hAnsiTheme="majorBidi" w:cstheme="majorBidi"/>
          <w:sz w:val="24"/>
          <w:szCs w:val="24"/>
          <w:rtl/>
        </w:rPr>
        <w:t>ותוס</w:t>
      </w:r>
      <w:proofErr w:type="spellEnd"/>
      <w:r w:rsidR="00DC30C4" w:rsidRPr="009141C3">
        <w:rPr>
          <w:rFonts w:asciiTheme="majorBidi" w:hAnsiTheme="majorBidi" w:cstheme="majorBidi"/>
          <w:sz w:val="24"/>
          <w:szCs w:val="24"/>
          <w:rtl/>
        </w:rPr>
        <w:t xml:space="preserve">' מסקנת </w:t>
      </w:r>
      <w:proofErr w:type="spellStart"/>
      <w:r w:rsidR="00DC30C4" w:rsidRPr="009141C3">
        <w:rPr>
          <w:rFonts w:asciiTheme="majorBidi" w:hAnsiTheme="majorBidi" w:cstheme="majorBidi"/>
          <w:sz w:val="24"/>
          <w:szCs w:val="24"/>
          <w:rtl/>
        </w:rPr>
        <w:t>הגמ</w:t>
      </w:r>
      <w:proofErr w:type="spellEnd"/>
      <w:r w:rsidR="00DC30C4" w:rsidRPr="009141C3">
        <w:rPr>
          <w:rFonts w:asciiTheme="majorBidi" w:hAnsiTheme="majorBidi" w:cstheme="majorBidi"/>
          <w:sz w:val="24"/>
          <w:szCs w:val="24"/>
          <w:rtl/>
        </w:rPr>
        <w:t xml:space="preserve">' שאף כאשר </w:t>
      </w:r>
      <w:proofErr w:type="spellStart"/>
      <w:r w:rsidR="00DC30C4" w:rsidRPr="009141C3">
        <w:rPr>
          <w:rFonts w:asciiTheme="majorBidi" w:hAnsiTheme="majorBidi" w:cstheme="majorBidi"/>
          <w:sz w:val="24"/>
          <w:szCs w:val="24"/>
          <w:rtl/>
        </w:rPr>
        <w:t>האשה</w:t>
      </w:r>
      <w:proofErr w:type="spellEnd"/>
      <w:r w:rsidR="00DC30C4" w:rsidRPr="009141C3">
        <w:rPr>
          <w:rFonts w:asciiTheme="majorBidi" w:hAnsiTheme="majorBidi" w:cstheme="majorBidi"/>
          <w:sz w:val="24"/>
          <w:szCs w:val="24"/>
          <w:rtl/>
        </w:rPr>
        <w:t xml:space="preserve"> בשוק מוגדרת קבועה כיון שתמיד הדרא לביתה (כך פירשו המפרשים</w:t>
      </w:r>
      <w:r w:rsidR="00051892">
        <w:rPr>
          <w:rStyle w:val="a5"/>
          <w:rFonts w:asciiTheme="majorBidi" w:hAnsiTheme="majorBidi" w:cstheme="majorBidi"/>
          <w:sz w:val="24"/>
          <w:szCs w:val="24"/>
          <w:rtl/>
        </w:rPr>
        <w:footnoteReference w:id="9"/>
      </w:r>
      <w:r w:rsidR="00DC30C4" w:rsidRPr="009141C3">
        <w:rPr>
          <w:rFonts w:asciiTheme="majorBidi" w:hAnsiTheme="majorBidi" w:cstheme="majorBidi"/>
          <w:sz w:val="24"/>
          <w:szCs w:val="24"/>
          <w:rtl/>
        </w:rPr>
        <w:t xml:space="preserve">).  ולפירוש </w:t>
      </w:r>
      <w:proofErr w:type="spellStart"/>
      <w:r w:rsidR="00DC30C4" w:rsidRPr="009141C3">
        <w:rPr>
          <w:rFonts w:asciiTheme="majorBidi" w:hAnsiTheme="majorBidi" w:cstheme="majorBidi"/>
          <w:sz w:val="24"/>
          <w:szCs w:val="24"/>
          <w:rtl/>
        </w:rPr>
        <w:t>הרא"ש</w:t>
      </w:r>
      <w:proofErr w:type="spellEnd"/>
      <w:r w:rsidR="00DC30C4" w:rsidRPr="009141C3">
        <w:rPr>
          <w:rFonts w:asciiTheme="majorBidi" w:hAnsiTheme="majorBidi" w:cstheme="majorBidi"/>
          <w:sz w:val="24"/>
          <w:szCs w:val="24"/>
          <w:rtl/>
        </w:rPr>
        <w:t xml:space="preserve"> </w:t>
      </w:r>
      <w:proofErr w:type="spellStart"/>
      <w:r w:rsidR="00DC30C4" w:rsidRPr="009141C3">
        <w:rPr>
          <w:rFonts w:asciiTheme="majorBidi" w:hAnsiTheme="majorBidi" w:cstheme="majorBidi"/>
          <w:sz w:val="24"/>
          <w:szCs w:val="24"/>
          <w:rtl/>
        </w:rPr>
        <w:t>ותוס</w:t>
      </w:r>
      <w:proofErr w:type="spellEnd"/>
      <w:r w:rsidR="00DC30C4" w:rsidRPr="009141C3">
        <w:rPr>
          <w:rFonts w:asciiTheme="majorBidi" w:hAnsiTheme="majorBidi" w:cstheme="majorBidi"/>
          <w:sz w:val="24"/>
          <w:szCs w:val="24"/>
          <w:rtl/>
        </w:rPr>
        <w:t xml:space="preserve">' בכתובות מבואר בגמ' חידוש שאף שכבר הלכנו אחר הרוב בשעה </w:t>
      </w:r>
      <w:proofErr w:type="spellStart"/>
      <w:r w:rsidR="00DC30C4" w:rsidRPr="009141C3">
        <w:rPr>
          <w:rFonts w:asciiTheme="majorBidi" w:hAnsiTheme="majorBidi" w:cstheme="majorBidi"/>
          <w:sz w:val="24"/>
          <w:szCs w:val="24"/>
          <w:rtl/>
        </w:rPr>
        <w:t>שהאשה</w:t>
      </w:r>
      <w:proofErr w:type="spellEnd"/>
      <w:r w:rsidR="00DC30C4" w:rsidRPr="009141C3">
        <w:rPr>
          <w:rFonts w:asciiTheme="majorBidi" w:hAnsiTheme="majorBidi" w:cstheme="majorBidi"/>
          <w:sz w:val="24"/>
          <w:szCs w:val="24"/>
          <w:rtl/>
        </w:rPr>
        <w:t xml:space="preserve"> </w:t>
      </w:r>
      <w:proofErr w:type="spellStart"/>
      <w:r w:rsidR="00DC30C4" w:rsidRPr="009141C3">
        <w:rPr>
          <w:rFonts w:asciiTheme="majorBidi" w:hAnsiTheme="majorBidi" w:cstheme="majorBidi"/>
          <w:sz w:val="24"/>
          <w:szCs w:val="24"/>
          <w:rtl/>
        </w:rPr>
        <w:t>היתה</w:t>
      </w:r>
      <w:proofErr w:type="spellEnd"/>
      <w:r w:rsidR="00DC30C4" w:rsidRPr="009141C3">
        <w:rPr>
          <w:rFonts w:asciiTheme="majorBidi" w:hAnsiTheme="majorBidi" w:cstheme="majorBidi"/>
          <w:sz w:val="24"/>
          <w:szCs w:val="24"/>
          <w:rtl/>
        </w:rPr>
        <w:t xml:space="preserve"> בשוק, כאשר חוזרת לקביעותה מתבטלת ההכרעה הנ"ל. והוא חידוש </w:t>
      </w:r>
      <w:r w:rsidR="00DC30C4" w:rsidRPr="009141C3">
        <w:rPr>
          <w:rFonts w:asciiTheme="majorBidi" w:hAnsiTheme="majorBidi" w:cstheme="majorBidi"/>
          <w:sz w:val="24"/>
          <w:szCs w:val="24"/>
          <w:rtl/>
        </w:rPr>
        <w:lastRenderedPageBreak/>
        <w:t xml:space="preserve">גדול, </w:t>
      </w:r>
      <w:proofErr w:type="spellStart"/>
      <w:r w:rsidR="00DC30C4" w:rsidRPr="009141C3">
        <w:rPr>
          <w:rFonts w:asciiTheme="majorBidi" w:hAnsiTheme="majorBidi" w:cstheme="majorBidi"/>
          <w:sz w:val="24"/>
          <w:szCs w:val="24"/>
          <w:rtl/>
        </w:rPr>
        <w:t>דלכאורה</w:t>
      </w:r>
      <w:proofErr w:type="spellEnd"/>
      <w:r w:rsidR="00DC30C4" w:rsidRPr="009141C3">
        <w:rPr>
          <w:rFonts w:asciiTheme="majorBidi" w:hAnsiTheme="majorBidi" w:cstheme="majorBidi"/>
          <w:sz w:val="24"/>
          <w:szCs w:val="24"/>
          <w:rtl/>
        </w:rPr>
        <w:t xml:space="preserve"> לא מצאנו כן לגבי חתיכת בשר וכו' שא"א אח"כ להחזירה לקביעותה. </w:t>
      </w:r>
      <w:r w:rsidR="00516261">
        <w:rPr>
          <w:rFonts w:asciiTheme="majorBidi" w:hAnsiTheme="majorBidi" w:cstheme="majorBidi" w:hint="cs"/>
          <w:sz w:val="24"/>
          <w:szCs w:val="24"/>
          <w:rtl/>
        </w:rPr>
        <w:t xml:space="preserve">  </w:t>
      </w:r>
      <w:r w:rsidR="00DC30C4" w:rsidRPr="009141C3">
        <w:rPr>
          <w:rFonts w:asciiTheme="majorBidi" w:hAnsiTheme="majorBidi" w:cstheme="majorBidi"/>
          <w:sz w:val="24"/>
          <w:szCs w:val="24"/>
          <w:rtl/>
        </w:rPr>
        <w:t xml:space="preserve">[ואולי יש לומר שכאשר האיסור אינו מזוהה, לעולם לא נחשב ש'חזר' לקביעותו, כיון שלא יודעים היכן היה. ורק </w:t>
      </w:r>
      <w:proofErr w:type="spellStart"/>
      <w:r w:rsidR="00DC30C4" w:rsidRPr="009141C3">
        <w:rPr>
          <w:rFonts w:asciiTheme="majorBidi" w:hAnsiTheme="majorBidi" w:cstheme="majorBidi"/>
          <w:sz w:val="24"/>
          <w:szCs w:val="24"/>
          <w:rtl/>
        </w:rPr>
        <w:t>בסוגיא</w:t>
      </w:r>
      <w:proofErr w:type="spellEnd"/>
      <w:r w:rsidR="00DC30C4" w:rsidRPr="009141C3">
        <w:rPr>
          <w:rFonts w:asciiTheme="majorBidi" w:hAnsiTheme="majorBidi" w:cstheme="majorBidi"/>
          <w:sz w:val="24"/>
          <w:szCs w:val="24"/>
          <w:rtl/>
        </w:rPr>
        <w:t xml:space="preserve"> בנזיר שייך דבר זה.</w:t>
      </w:r>
      <w:r w:rsidR="00516261">
        <w:rPr>
          <w:rFonts w:asciiTheme="majorBidi" w:hAnsiTheme="majorBidi" w:cstheme="majorBidi" w:hint="cs"/>
          <w:sz w:val="24"/>
          <w:szCs w:val="24"/>
          <w:rtl/>
        </w:rPr>
        <w:t xml:space="preserve"> ושייך גם לצדדים הנ"ל במהות הקביעות.</w:t>
      </w:r>
      <w:r w:rsidR="00DC30C4" w:rsidRPr="009141C3">
        <w:rPr>
          <w:rFonts w:asciiTheme="majorBidi" w:hAnsiTheme="majorBidi" w:cstheme="majorBidi"/>
          <w:sz w:val="24"/>
          <w:szCs w:val="24"/>
          <w:rtl/>
        </w:rPr>
        <w:t>]</w:t>
      </w:r>
    </w:p>
    <w:p w:rsidR="000B266F" w:rsidRDefault="000B266F" w:rsidP="009141C3">
      <w:pPr>
        <w:jc w:val="both"/>
        <w:rPr>
          <w:rFonts w:asciiTheme="majorBidi" w:hAnsiTheme="majorBidi" w:cstheme="majorBidi"/>
          <w:sz w:val="24"/>
          <w:szCs w:val="24"/>
          <w:rtl/>
        </w:rPr>
      </w:pPr>
    </w:p>
    <w:p w:rsidR="00EF7093" w:rsidRDefault="00EF7093" w:rsidP="009141C3">
      <w:pPr>
        <w:jc w:val="both"/>
        <w:rPr>
          <w:rFonts w:asciiTheme="majorBidi" w:hAnsiTheme="majorBidi" w:cstheme="majorBidi"/>
          <w:b/>
          <w:bCs/>
          <w:sz w:val="24"/>
          <w:szCs w:val="24"/>
          <w:rtl/>
        </w:rPr>
      </w:pPr>
      <w:r>
        <w:rPr>
          <w:rFonts w:asciiTheme="majorBidi" w:hAnsiTheme="majorBidi" w:cstheme="majorBidi" w:hint="cs"/>
          <w:b/>
          <w:bCs/>
          <w:sz w:val="24"/>
          <w:szCs w:val="24"/>
          <w:rtl/>
        </w:rPr>
        <w:t>ו, האם ידיעה של אחד משפיעה על השני</w:t>
      </w:r>
    </w:p>
    <w:p w:rsidR="00EF7093" w:rsidRPr="00EF7093" w:rsidRDefault="00051892" w:rsidP="009141C3">
      <w:pPr>
        <w:jc w:val="both"/>
        <w:rPr>
          <w:rFonts w:asciiTheme="majorBidi" w:hAnsiTheme="majorBidi" w:cstheme="majorBidi"/>
          <w:sz w:val="24"/>
          <w:szCs w:val="24"/>
        </w:rPr>
      </w:pPr>
      <w:r>
        <w:rPr>
          <w:rFonts w:asciiTheme="majorBidi" w:hAnsiTheme="majorBidi" w:cstheme="majorBidi" w:hint="cs"/>
          <w:sz w:val="24"/>
          <w:szCs w:val="24"/>
          <w:rtl/>
        </w:rPr>
        <w:t>לגבי שלושה</w:t>
      </w:r>
      <w:r w:rsidR="00EF7093">
        <w:rPr>
          <w:rFonts w:asciiTheme="majorBidi" w:hAnsiTheme="majorBidi" w:cstheme="majorBidi" w:hint="cs"/>
          <w:sz w:val="24"/>
          <w:szCs w:val="24"/>
          <w:rtl/>
        </w:rPr>
        <w:t xml:space="preserve"> דינים שהוזכרו כאן </w:t>
      </w:r>
      <w:proofErr w:type="spellStart"/>
      <w:r w:rsidR="00EF7093">
        <w:rPr>
          <w:rFonts w:asciiTheme="majorBidi" w:hAnsiTheme="majorBidi" w:cstheme="majorBidi" w:hint="cs"/>
          <w:sz w:val="24"/>
          <w:szCs w:val="24"/>
          <w:rtl/>
        </w:rPr>
        <w:t>בסוגיא</w:t>
      </w:r>
      <w:proofErr w:type="spellEnd"/>
      <w:r w:rsidR="00EF7093">
        <w:rPr>
          <w:rFonts w:asciiTheme="majorBidi" w:hAnsiTheme="majorBidi" w:cstheme="majorBidi" w:hint="cs"/>
          <w:sz w:val="24"/>
          <w:szCs w:val="24"/>
          <w:rtl/>
        </w:rPr>
        <w:t xml:space="preserve"> מתעורר הנושא, האם ידיעה של אח</w:t>
      </w:r>
      <w:r w:rsidR="00516261">
        <w:rPr>
          <w:rFonts w:asciiTheme="majorBidi" w:hAnsiTheme="majorBidi" w:cstheme="majorBidi" w:hint="cs"/>
          <w:sz w:val="24"/>
          <w:szCs w:val="24"/>
          <w:rtl/>
        </w:rPr>
        <w:t xml:space="preserve">ד תשפיע על האחר.  א': לגבי 'פרישה בפנינו' מהקבוע, האם כאשר פרש בפני אחד, נחשב גם לגבי האחרים </w:t>
      </w:r>
      <w:proofErr w:type="spellStart"/>
      <w:r w:rsidR="00516261">
        <w:rPr>
          <w:rFonts w:asciiTheme="majorBidi" w:hAnsiTheme="majorBidi" w:cstheme="majorBidi" w:hint="cs"/>
          <w:sz w:val="24"/>
          <w:szCs w:val="24"/>
          <w:rtl/>
        </w:rPr>
        <w:t>כפירש</w:t>
      </w:r>
      <w:proofErr w:type="spellEnd"/>
      <w:r w:rsidR="00516261">
        <w:rPr>
          <w:rFonts w:asciiTheme="majorBidi" w:hAnsiTheme="majorBidi" w:cstheme="majorBidi" w:hint="cs"/>
          <w:sz w:val="24"/>
          <w:szCs w:val="24"/>
          <w:rtl/>
        </w:rPr>
        <w:t xml:space="preserve"> בפנינו</w:t>
      </w:r>
      <w:r w:rsidR="009A6E34">
        <w:rPr>
          <w:rStyle w:val="a5"/>
          <w:rFonts w:asciiTheme="majorBidi" w:hAnsiTheme="majorBidi" w:cstheme="majorBidi"/>
          <w:sz w:val="24"/>
          <w:szCs w:val="24"/>
          <w:rtl/>
        </w:rPr>
        <w:footnoteReference w:id="10"/>
      </w:r>
      <w:r w:rsidR="00516261">
        <w:rPr>
          <w:rFonts w:asciiTheme="majorBidi" w:hAnsiTheme="majorBidi" w:cstheme="majorBidi" w:hint="cs"/>
          <w:sz w:val="24"/>
          <w:szCs w:val="24"/>
          <w:rtl/>
        </w:rPr>
        <w:t xml:space="preserve">.  ב': לגבי "איסור הניכר במקומו", מה הדין כאשר ניכר לאחד, ולשאר אינו ניכר. ודנו הפוסקים בשני הנושאים, </w:t>
      </w:r>
      <w:proofErr w:type="spellStart"/>
      <w:r w:rsidR="00516261">
        <w:rPr>
          <w:rFonts w:asciiTheme="majorBidi" w:hAnsiTheme="majorBidi" w:cstheme="majorBidi" w:hint="cs"/>
          <w:sz w:val="24"/>
          <w:szCs w:val="24"/>
          <w:rtl/>
        </w:rPr>
        <w:t>והחזו"א</w:t>
      </w:r>
      <w:proofErr w:type="spellEnd"/>
      <w:r w:rsidR="00516261">
        <w:rPr>
          <w:rFonts w:asciiTheme="majorBidi" w:hAnsiTheme="majorBidi" w:cstheme="majorBidi" w:hint="cs"/>
          <w:sz w:val="24"/>
          <w:szCs w:val="24"/>
          <w:rtl/>
        </w:rPr>
        <w:t xml:space="preserve"> כתב שייתכן שיש לחלק בין שני הנושאים.</w:t>
      </w:r>
      <w:r>
        <w:rPr>
          <w:rFonts w:asciiTheme="majorBidi" w:hAnsiTheme="majorBidi" w:cstheme="majorBidi" w:hint="cs"/>
          <w:sz w:val="24"/>
          <w:szCs w:val="24"/>
          <w:rtl/>
        </w:rPr>
        <w:t xml:space="preserve">  ג': מתי מוגדרת התעוררות הספק, לגבי 'פרישה קודם שנולד הספק'.</w:t>
      </w:r>
    </w:p>
    <w:sectPr w:rsidR="00EF7093" w:rsidRPr="00EF7093" w:rsidSect="009141C3">
      <w:type w:val="continuous"/>
      <w:pgSz w:w="11906" w:h="16838"/>
      <w:pgMar w:top="1440" w:right="1800" w:bottom="1440" w:left="1800" w:header="708" w:footer="708" w:gutter="0"/>
      <w:cols w:num="2"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912" w:rsidRDefault="00603912" w:rsidP="00DC30C4">
      <w:pPr>
        <w:spacing w:after="0" w:line="240" w:lineRule="auto"/>
      </w:pPr>
      <w:r>
        <w:separator/>
      </w:r>
    </w:p>
  </w:endnote>
  <w:endnote w:type="continuationSeparator" w:id="0">
    <w:p w:rsidR="00603912" w:rsidRDefault="00603912" w:rsidP="00DC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912" w:rsidRDefault="00603912" w:rsidP="00DC30C4">
      <w:pPr>
        <w:spacing w:after="0" w:line="240" w:lineRule="auto"/>
      </w:pPr>
      <w:r>
        <w:separator/>
      </w:r>
    </w:p>
  </w:footnote>
  <w:footnote w:type="continuationSeparator" w:id="0">
    <w:p w:rsidR="00603912" w:rsidRDefault="00603912" w:rsidP="00DC30C4">
      <w:pPr>
        <w:spacing w:after="0" w:line="240" w:lineRule="auto"/>
      </w:pPr>
      <w:r>
        <w:continuationSeparator/>
      </w:r>
    </w:p>
  </w:footnote>
  <w:footnote w:id="1">
    <w:p w:rsidR="007266F5" w:rsidRDefault="007266F5">
      <w:pPr>
        <w:pStyle w:val="a3"/>
        <w:rPr>
          <w:rFonts w:hint="cs"/>
        </w:rPr>
      </w:pPr>
      <w:r>
        <w:rPr>
          <w:rStyle w:val="a5"/>
        </w:rPr>
        <w:footnoteRef/>
      </w:r>
      <w:r>
        <w:rPr>
          <w:rtl/>
        </w:rPr>
        <w:t xml:space="preserve"> </w:t>
      </w:r>
      <w:r>
        <w:rPr>
          <w:rFonts w:hint="cs"/>
          <w:rtl/>
        </w:rPr>
        <w:t xml:space="preserve">וכן נקט </w:t>
      </w:r>
      <w:proofErr w:type="spellStart"/>
      <w:r>
        <w:rPr>
          <w:rFonts w:hint="cs"/>
          <w:rtl/>
        </w:rPr>
        <w:t>הגרש"ש</w:t>
      </w:r>
      <w:proofErr w:type="spellEnd"/>
      <w:r>
        <w:rPr>
          <w:rFonts w:hint="cs"/>
          <w:rtl/>
        </w:rPr>
        <w:t>.</w:t>
      </w:r>
    </w:p>
  </w:footnote>
  <w:footnote w:id="2">
    <w:p w:rsidR="00051892" w:rsidRDefault="00051892">
      <w:pPr>
        <w:pStyle w:val="a3"/>
      </w:pPr>
      <w:r>
        <w:rPr>
          <w:rStyle w:val="a5"/>
        </w:rPr>
        <w:footnoteRef/>
      </w:r>
      <w:r>
        <w:rPr>
          <w:rtl/>
        </w:rPr>
        <w:t xml:space="preserve"> </w:t>
      </w:r>
      <w:r>
        <w:rPr>
          <w:rFonts w:hint="cs"/>
          <w:rtl/>
        </w:rPr>
        <w:t xml:space="preserve">כ"כ </w:t>
      </w:r>
      <w:proofErr w:type="spellStart"/>
      <w:r>
        <w:rPr>
          <w:rFonts w:hint="cs"/>
          <w:rtl/>
        </w:rPr>
        <w:t>התוס</w:t>
      </w:r>
      <w:proofErr w:type="spellEnd"/>
      <w:r>
        <w:rPr>
          <w:rFonts w:hint="cs"/>
          <w:rtl/>
        </w:rPr>
        <w:t>' בזבחים ובחולין.</w:t>
      </w:r>
    </w:p>
  </w:footnote>
  <w:footnote w:id="3">
    <w:p w:rsidR="00051892" w:rsidRDefault="00051892">
      <w:pPr>
        <w:pStyle w:val="a3"/>
        <w:rPr>
          <w:rFonts w:hint="cs"/>
          <w:rtl/>
        </w:rPr>
      </w:pPr>
      <w:r>
        <w:rPr>
          <w:rStyle w:val="a5"/>
        </w:rPr>
        <w:footnoteRef/>
      </w:r>
      <w:r>
        <w:rPr>
          <w:rtl/>
        </w:rPr>
        <w:t xml:space="preserve"> </w:t>
      </w:r>
      <w:proofErr w:type="spellStart"/>
      <w:r>
        <w:rPr>
          <w:rFonts w:hint="cs"/>
          <w:rtl/>
        </w:rPr>
        <w:t>תוס</w:t>
      </w:r>
      <w:proofErr w:type="spellEnd"/>
      <w:r>
        <w:rPr>
          <w:rFonts w:hint="cs"/>
          <w:rtl/>
        </w:rPr>
        <w:t>' בפסחים.</w:t>
      </w:r>
    </w:p>
  </w:footnote>
  <w:footnote w:id="4">
    <w:p w:rsidR="00051892" w:rsidRDefault="00051892">
      <w:pPr>
        <w:pStyle w:val="a3"/>
      </w:pPr>
      <w:r>
        <w:rPr>
          <w:rStyle w:val="a5"/>
        </w:rPr>
        <w:footnoteRef/>
      </w:r>
      <w:r>
        <w:rPr>
          <w:rtl/>
        </w:rPr>
        <w:t xml:space="preserve"> </w:t>
      </w:r>
      <w:proofErr w:type="spellStart"/>
      <w:r>
        <w:rPr>
          <w:rFonts w:hint="cs"/>
          <w:rtl/>
        </w:rPr>
        <w:t>תוס</w:t>
      </w:r>
      <w:proofErr w:type="spellEnd"/>
      <w:r>
        <w:rPr>
          <w:rFonts w:hint="cs"/>
          <w:rtl/>
        </w:rPr>
        <w:t xml:space="preserve">' </w:t>
      </w:r>
      <w:proofErr w:type="spellStart"/>
      <w:r>
        <w:rPr>
          <w:rFonts w:hint="cs"/>
          <w:rtl/>
        </w:rPr>
        <w:t>שאנץ</w:t>
      </w:r>
      <w:proofErr w:type="spellEnd"/>
      <w:r>
        <w:rPr>
          <w:rFonts w:hint="cs"/>
          <w:rtl/>
        </w:rPr>
        <w:t xml:space="preserve"> </w:t>
      </w:r>
      <w:proofErr w:type="spellStart"/>
      <w:r>
        <w:rPr>
          <w:rFonts w:hint="cs"/>
          <w:rtl/>
        </w:rPr>
        <w:t>ותוהרא"ש</w:t>
      </w:r>
      <w:proofErr w:type="spellEnd"/>
      <w:r>
        <w:rPr>
          <w:rFonts w:hint="cs"/>
          <w:rtl/>
        </w:rPr>
        <w:t xml:space="preserve"> בפסחים, וכנראה כן למד גם </w:t>
      </w:r>
      <w:proofErr w:type="spellStart"/>
      <w:r>
        <w:rPr>
          <w:rFonts w:hint="cs"/>
          <w:rtl/>
        </w:rPr>
        <w:t>הרשב"א</w:t>
      </w:r>
      <w:proofErr w:type="spellEnd"/>
      <w:r>
        <w:rPr>
          <w:rFonts w:hint="cs"/>
          <w:rtl/>
        </w:rPr>
        <w:t xml:space="preserve"> (שכתב דבר זה בפשיטות).</w:t>
      </w:r>
    </w:p>
  </w:footnote>
  <w:footnote w:id="5">
    <w:p w:rsidR="00051892" w:rsidRDefault="00051892">
      <w:pPr>
        <w:pStyle w:val="a3"/>
        <w:rPr>
          <w:rFonts w:hint="cs"/>
          <w:rtl/>
        </w:rPr>
      </w:pPr>
      <w:r>
        <w:rPr>
          <w:rStyle w:val="a5"/>
        </w:rPr>
        <w:footnoteRef/>
      </w:r>
      <w:r>
        <w:rPr>
          <w:rtl/>
        </w:rPr>
        <w:t xml:space="preserve"> </w:t>
      </w:r>
      <w:proofErr w:type="spellStart"/>
      <w:r>
        <w:rPr>
          <w:rFonts w:hint="cs"/>
          <w:rtl/>
        </w:rPr>
        <w:t>תור"פ</w:t>
      </w:r>
      <w:proofErr w:type="spellEnd"/>
      <w:r>
        <w:rPr>
          <w:rFonts w:hint="cs"/>
          <w:rtl/>
        </w:rPr>
        <w:t xml:space="preserve"> בפסחים.</w:t>
      </w:r>
    </w:p>
  </w:footnote>
  <w:footnote w:id="6">
    <w:p w:rsidR="00051892" w:rsidRDefault="00051892">
      <w:pPr>
        <w:pStyle w:val="a3"/>
        <w:rPr>
          <w:rFonts w:hint="cs"/>
          <w:rtl/>
        </w:rPr>
      </w:pPr>
      <w:r>
        <w:rPr>
          <w:rStyle w:val="a5"/>
        </w:rPr>
        <w:footnoteRef/>
      </w:r>
      <w:r>
        <w:rPr>
          <w:rtl/>
        </w:rPr>
        <w:t xml:space="preserve"> </w:t>
      </w:r>
      <w:proofErr w:type="spellStart"/>
      <w:r>
        <w:rPr>
          <w:rFonts w:hint="cs"/>
          <w:rtl/>
        </w:rPr>
        <w:t>ר"ן</w:t>
      </w:r>
      <w:proofErr w:type="spellEnd"/>
      <w:r>
        <w:rPr>
          <w:rFonts w:hint="cs"/>
          <w:rtl/>
        </w:rPr>
        <w:t xml:space="preserve"> על </w:t>
      </w:r>
      <w:proofErr w:type="spellStart"/>
      <w:r>
        <w:rPr>
          <w:rFonts w:hint="cs"/>
          <w:rtl/>
        </w:rPr>
        <w:t>הרי"ף</w:t>
      </w:r>
      <w:proofErr w:type="spellEnd"/>
      <w:r>
        <w:rPr>
          <w:rFonts w:hint="cs"/>
          <w:rtl/>
        </w:rPr>
        <w:t xml:space="preserve"> בחולין.</w:t>
      </w:r>
    </w:p>
  </w:footnote>
  <w:footnote w:id="7">
    <w:p w:rsidR="00051892" w:rsidRDefault="00051892">
      <w:pPr>
        <w:pStyle w:val="a3"/>
        <w:rPr>
          <w:rFonts w:hint="cs"/>
        </w:rPr>
      </w:pPr>
      <w:r>
        <w:rPr>
          <w:rStyle w:val="a5"/>
        </w:rPr>
        <w:footnoteRef/>
      </w:r>
      <w:r>
        <w:rPr>
          <w:rtl/>
        </w:rPr>
        <w:t xml:space="preserve"> </w:t>
      </w:r>
      <w:proofErr w:type="spellStart"/>
      <w:r>
        <w:rPr>
          <w:rFonts w:hint="cs"/>
          <w:rtl/>
        </w:rPr>
        <w:t>תוס</w:t>
      </w:r>
      <w:proofErr w:type="spellEnd"/>
      <w:r>
        <w:rPr>
          <w:rFonts w:hint="cs"/>
          <w:rtl/>
        </w:rPr>
        <w:t>' בחולין (כן היא פשטות דבריהם, ויש שרצו ללמוד אחרת בדבריהם).</w:t>
      </w:r>
    </w:p>
  </w:footnote>
  <w:footnote w:id="8">
    <w:p w:rsidR="00051892" w:rsidRDefault="00051892">
      <w:pPr>
        <w:pStyle w:val="a3"/>
        <w:rPr>
          <w:rFonts w:hint="cs"/>
          <w:rtl/>
        </w:rPr>
      </w:pPr>
      <w:r>
        <w:rPr>
          <w:rStyle w:val="a5"/>
        </w:rPr>
        <w:footnoteRef/>
      </w:r>
      <w:r>
        <w:rPr>
          <w:rtl/>
        </w:rPr>
        <w:t xml:space="preserve"> </w:t>
      </w:r>
      <w:r>
        <w:rPr>
          <w:rFonts w:hint="cs"/>
          <w:rtl/>
        </w:rPr>
        <w:t xml:space="preserve">כן עולה בדברי </w:t>
      </w:r>
      <w:proofErr w:type="spellStart"/>
      <w:r>
        <w:rPr>
          <w:rFonts w:hint="cs"/>
          <w:rtl/>
        </w:rPr>
        <w:t>הר"ן</w:t>
      </w:r>
      <w:proofErr w:type="spellEnd"/>
      <w:r>
        <w:rPr>
          <w:rFonts w:hint="cs"/>
          <w:rtl/>
        </w:rPr>
        <w:t xml:space="preserve"> על </w:t>
      </w:r>
      <w:proofErr w:type="spellStart"/>
      <w:r>
        <w:rPr>
          <w:rFonts w:hint="cs"/>
          <w:rtl/>
        </w:rPr>
        <w:t>הרי"ף</w:t>
      </w:r>
      <w:proofErr w:type="spellEnd"/>
      <w:r>
        <w:rPr>
          <w:rFonts w:hint="cs"/>
          <w:rtl/>
        </w:rPr>
        <w:t xml:space="preserve"> בחולין, עיי"ש.</w:t>
      </w:r>
    </w:p>
  </w:footnote>
  <w:footnote w:id="9">
    <w:p w:rsidR="00051892" w:rsidRDefault="00051892">
      <w:pPr>
        <w:pStyle w:val="a3"/>
        <w:rPr>
          <w:rFonts w:hint="cs"/>
          <w:rtl/>
        </w:rPr>
      </w:pPr>
      <w:r>
        <w:rPr>
          <w:rStyle w:val="a5"/>
        </w:rPr>
        <w:footnoteRef/>
      </w:r>
      <w:r>
        <w:rPr>
          <w:rtl/>
        </w:rPr>
        <w:t xml:space="preserve"> </w:t>
      </w:r>
      <w:r>
        <w:rPr>
          <w:rFonts w:hint="cs"/>
          <w:rtl/>
        </w:rPr>
        <w:t>בינת אדם בשער הקבוע, ועוד.</w:t>
      </w:r>
    </w:p>
  </w:footnote>
  <w:footnote w:id="10">
    <w:p w:rsidR="009A6E34" w:rsidRDefault="009A6E34">
      <w:pPr>
        <w:pStyle w:val="a3"/>
        <w:rPr>
          <w:rFonts w:hint="cs"/>
        </w:rPr>
      </w:pPr>
      <w:r>
        <w:rPr>
          <w:rStyle w:val="a5"/>
        </w:rPr>
        <w:footnoteRef/>
      </w:r>
      <w:r>
        <w:rPr>
          <w:rtl/>
        </w:rPr>
        <w:t xml:space="preserve"> </w:t>
      </w:r>
      <w:r>
        <w:rPr>
          <w:rFonts w:hint="cs"/>
          <w:rtl/>
        </w:rPr>
        <w:t xml:space="preserve">ובחידושי </w:t>
      </w:r>
      <w:proofErr w:type="spellStart"/>
      <w:r>
        <w:rPr>
          <w:rFonts w:hint="cs"/>
          <w:rtl/>
        </w:rPr>
        <w:t>הר"ן</w:t>
      </w:r>
      <w:proofErr w:type="spellEnd"/>
      <w:r>
        <w:rPr>
          <w:rFonts w:hint="cs"/>
          <w:rtl/>
        </w:rPr>
        <w:t xml:space="preserve"> בפסחים נראה שכל שפירש בפני אחד המסתפק גם הוא בדבר, נחשב בפנינו, אף שלנו אין שום ידיעה</w:t>
      </w:r>
      <w:bookmarkStart w:id="0" w:name="_GoBack"/>
      <w:bookmarkEnd w:id="0"/>
      <w:r>
        <w:rPr>
          <w:rFonts w:hint="cs"/>
          <w:rtl/>
        </w:rPr>
        <w:t xml:space="preserve"> על ידיעותיו. ולכן הוצרך לומר שהסיבה שבנמצא מותר, הוא משום שמן הסתם מי שלקח את הבשר, ידע מהיכן לקחו, ואין לו כלל ספק בדבר.</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20"/>
    <w:rsid w:val="00051892"/>
    <w:rsid w:val="000B266F"/>
    <w:rsid w:val="00197090"/>
    <w:rsid w:val="001C6C6D"/>
    <w:rsid w:val="002B7266"/>
    <w:rsid w:val="0035220A"/>
    <w:rsid w:val="00400D51"/>
    <w:rsid w:val="00516261"/>
    <w:rsid w:val="005A260E"/>
    <w:rsid w:val="005B1ADE"/>
    <w:rsid w:val="00603912"/>
    <w:rsid w:val="0063631E"/>
    <w:rsid w:val="00653A67"/>
    <w:rsid w:val="006C5694"/>
    <w:rsid w:val="007266F5"/>
    <w:rsid w:val="00763343"/>
    <w:rsid w:val="00766028"/>
    <w:rsid w:val="007C38EE"/>
    <w:rsid w:val="00812EAC"/>
    <w:rsid w:val="008D39E8"/>
    <w:rsid w:val="009141C3"/>
    <w:rsid w:val="009743F8"/>
    <w:rsid w:val="009A6E34"/>
    <w:rsid w:val="00A140E9"/>
    <w:rsid w:val="00AB1139"/>
    <w:rsid w:val="00B42EC6"/>
    <w:rsid w:val="00BB5539"/>
    <w:rsid w:val="00C54C1D"/>
    <w:rsid w:val="00C76B20"/>
    <w:rsid w:val="00DC30C4"/>
    <w:rsid w:val="00E51355"/>
    <w:rsid w:val="00E77CFF"/>
    <w:rsid w:val="00E83EF7"/>
    <w:rsid w:val="00EF7093"/>
    <w:rsid w:val="00F2718E"/>
    <w:rsid w:val="00F36414"/>
    <w:rsid w:val="00F773C3"/>
    <w:rsid w:val="00F92AEC"/>
    <w:rsid w:val="00FA67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4119"/>
  <w15:chartTrackingRefBased/>
  <w15:docId w15:val="{B0697E74-4CFA-4BD9-B821-CFAFDA00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C30C4"/>
    <w:pPr>
      <w:spacing w:after="0" w:line="240" w:lineRule="auto"/>
    </w:pPr>
    <w:rPr>
      <w:sz w:val="20"/>
      <w:szCs w:val="20"/>
    </w:rPr>
  </w:style>
  <w:style w:type="character" w:customStyle="1" w:styleId="a4">
    <w:name w:val="טקסט הערת שוליים תו"/>
    <w:basedOn w:val="a0"/>
    <w:link w:val="a3"/>
    <w:uiPriority w:val="99"/>
    <w:semiHidden/>
    <w:rsid w:val="00DC30C4"/>
    <w:rPr>
      <w:sz w:val="20"/>
      <w:szCs w:val="20"/>
    </w:rPr>
  </w:style>
  <w:style w:type="character" w:styleId="a5">
    <w:name w:val="footnote reference"/>
    <w:basedOn w:val="a0"/>
    <w:uiPriority w:val="99"/>
    <w:semiHidden/>
    <w:unhideWhenUsed/>
    <w:rsid w:val="00DC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3</Pages>
  <Words>1068</Words>
  <Characters>5340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17</cp:revision>
  <dcterms:created xsi:type="dcterms:W3CDTF">2021-10-27T06:22:00Z</dcterms:created>
  <dcterms:modified xsi:type="dcterms:W3CDTF">2021-12-09T14:33:00Z</dcterms:modified>
</cp:coreProperties>
</file>