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Pr="00C627DB" w:rsidRDefault="0024414B" w:rsidP="005326F2">
      <w:pPr>
        <w:jc w:val="center"/>
        <w:rPr>
          <w:rFonts w:asciiTheme="majorBidi" w:hAnsiTheme="majorBidi" w:cstheme="majorBidi"/>
          <w:rtl/>
        </w:rPr>
      </w:pPr>
      <w:r w:rsidRPr="00C627DB">
        <w:rPr>
          <w:rFonts w:asciiTheme="majorBidi" w:hAnsiTheme="majorBidi" w:cstheme="majorBidi"/>
          <w:rtl/>
        </w:rPr>
        <w:t>בעזרת השם יתברך</w:t>
      </w:r>
    </w:p>
    <w:p w:rsidR="0024414B" w:rsidRPr="00FC097F" w:rsidRDefault="0024414B" w:rsidP="00FC097F">
      <w:pPr>
        <w:jc w:val="center"/>
        <w:rPr>
          <w:rFonts w:asciiTheme="majorBidi" w:hAnsiTheme="majorBidi" w:cstheme="majorBidi"/>
          <w:b/>
          <w:bCs/>
          <w:rtl/>
        </w:rPr>
      </w:pPr>
      <w:r w:rsidRPr="00FC097F">
        <w:rPr>
          <w:rFonts w:asciiTheme="majorBidi" w:hAnsiTheme="majorBidi" w:cstheme="majorBidi"/>
          <w:b/>
          <w:bCs/>
          <w:rtl/>
        </w:rPr>
        <w:t>ציונים והערות לסעיף ו'</w:t>
      </w:r>
    </w:p>
    <w:p w:rsidR="0024414B" w:rsidRPr="00FC097F" w:rsidRDefault="00FC097F" w:rsidP="00FC097F">
      <w:pPr>
        <w:jc w:val="center"/>
        <w:rPr>
          <w:rFonts w:asciiTheme="majorBidi" w:hAnsiTheme="majorBidi" w:cstheme="majorBidi"/>
          <w:rtl/>
        </w:rPr>
      </w:pPr>
      <w:r w:rsidRPr="00FC097F">
        <w:rPr>
          <w:rFonts w:asciiTheme="majorBidi" w:hAnsiTheme="majorBidi" w:cstheme="majorBidi"/>
          <w:rtl/>
        </w:rPr>
        <w:t>הקדמה: בסעיף ו' ישנן כמה נקודות חשובות.</w:t>
      </w:r>
      <w:r w:rsidR="0024414B" w:rsidRPr="00FC097F">
        <w:rPr>
          <w:rFonts w:asciiTheme="majorBidi" w:hAnsiTheme="majorBidi" w:cstheme="majorBidi"/>
          <w:rtl/>
        </w:rPr>
        <w:t xml:space="preserve">  הנושא ה"רישמי" של הסעיף הוא הגזירה דרבנן של שמא יקח מן הקבוע.   אך נכנס</w:t>
      </w:r>
      <w:r w:rsidRPr="00FC097F">
        <w:rPr>
          <w:rFonts w:asciiTheme="majorBidi" w:hAnsiTheme="majorBidi" w:cstheme="majorBidi"/>
          <w:rtl/>
        </w:rPr>
        <w:t>ו</w:t>
      </w:r>
      <w:r w:rsidR="0024414B" w:rsidRPr="00FC097F">
        <w:rPr>
          <w:rFonts w:asciiTheme="majorBidi" w:hAnsiTheme="majorBidi" w:cstheme="majorBidi"/>
          <w:rtl/>
        </w:rPr>
        <w:t xml:space="preserve"> בו גם </w:t>
      </w:r>
      <w:r w:rsidRPr="00FC097F">
        <w:rPr>
          <w:rFonts w:asciiTheme="majorBidi" w:hAnsiTheme="majorBidi" w:cstheme="majorBidi"/>
          <w:rtl/>
        </w:rPr>
        <w:t>כמה יסודות ב</w:t>
      </w:r>
      <w:r w:rsidR="0024414B" w:rsidRPr="00FC097F">
        <w:rPr>
          <w:rFonts w:asciiTheme="majorBidi" w:hAnsiTheme="majorBidi" w:cstheme="majorBidi"/>
          <w:rtl/>
        </w:rPr>
        <w:t>נושא של</w:t>
      </w:r>
      <w:r w:rsidRPr="00FC097F">
        <w:rPr>
          <w:rFonts w:asciiTheme="majorBidi" w:hAnsiTheme="majorBidi" w:cstheme="majorBidi"/>
          <w:rtl/>
        </w:rPr>
        <w:t xml:space="preserve"> קבוע ופרישה.</w:t>
      </w:r>
      <w:r w:rsidR="0024414B" w:rsidRPr="00FC097F">
        <w:rPr>
          <w:rFonts w:asciiTheme="majorBidi" w:hAnsiTheme="majorBidi" w:cstheme="majorBidi"/>
          <w:rtl/>
        </w:rPr>
        <w:t xml:space="preserve"> וכפי שיבואר להלן בס"ד.</w:t>
      </w:r>
    </w:p>
    <w:p w:rsidR="00D14A1B" w:rsidRDefault="00D14A1B" w:rsidP="00FC097F">
      <w:pPr>
        <w:jc w:val="both"/>
        <w:rPr>
          <w:rFonts w:asciiTheme="majorBidi" w:hAnsiTheme="majorBidi" w:cstheme="majorBidi"/>
          <w:b/>
          <w:bCs/>
          <w:sz w:val="32"/>
          <w:szCs w:val="32"/>
          <w:rtl/>
        </w:rPr>
        <w:sectPr w:rsidR="00D14A1B" w:rsidSect="008D39E8">
          <w:pgSz w:w="11906" w:h="16838"/>
          <w:pgMar w:top="1440" w:right="1800" w:bottom="1440" w:left="1800" w:header="708" w:footer="708" w:gutter="0"/>
          <w:cols w:space="708"/>
          <w:bidi/>
          <w:rtlGutter/>
          <w:docGrid w:linePitch="360"/>
        </w:sectPr>
      </w:pPr>
    </w:p>
    <w:p w:rsidR="0024414B" w:rsidRPr="00FC097F" w:rsidRDefault="0024414B" w:rsidP="00FC097F">
      <w:pPr>
        <w:jc w:val="both"/>
        <w:rPr>
          <w:rFonts w:asciiTheme="majorBidi" w:hAnsiTheme="majorBidi" w:cstheme="majorBidi"/>
          <w:b/>
          <w:bCs/>
          <w:sz w:val="32"/>
          <w:szCs w:val="32"/>
          <w:rtl/>
        </w:rPr>
      </w:pPr>
      <w:r w:rsidRPr="00FC097F">
        <w:rPr>
          <w:rFonts w:asciiTheme="majorBidi" w:hAnsiTheme="majorBidi" w:cstheme="majorBidi"/>
          <w:b/>
          <w:bCs/>
          <w:sz w:val="32"/>
          <w:szCs w:val="32"/>
          <w:rtl/>
        </w:rPr>
        <w:lastRenderedPageBreak/>
        <w:t>בגדרי קבוע</w:t>
      </w:r>
      <w:r w:rsidR="00C207D4" w:rsidRPr="00FC097F">
        <w:rPr>
          <w:rFonts w:asciiTheme="majorBidi" w:hAnsiTheme="majorBidi" w:cstheme="majorBidi"/>
          <w:b/>
          <w:bCs/>
          <w:sz w:val="32"/>
          <w:szCs w:val="32"/>
          <w:rtl/>
        </w:rPr>
        <w:t xml:space="preserve"> ופירש</w:t>
      </w:r>
    </w:p>
    <w:p w:rsidR="00321A17" w:rsidRPr="00FC097F" w:rsidRDefault="00FC097F" w:rsidP="00FC097F">
      <w:pPr>
        <w:jc w:val="both"/>
        <w:rPr>
          <w:rFonts w:asciiTheme="majorBidi" w:hAnsiTheme="majorBidi" w:cstheme="majorBidi"/>
          <w:b/>
          <w:bCs/>
          <w:rtl/>
        </w:rPr>
      </w:pPr>
      <w:r>
        <w:rPr>
          <w:rFonts w:asciiTheme="majorBidi" w:hAnsiTheme="majorBidi" w:cstheme="majorBidi"/>
          <w:b/>
          <w:bCs/>
          <w:rtl/>
        </w:rPr>
        <w:t xml:space="preserve">א, </w:t>
      </w:r>
      <w:r w:rsidR="00321A17" w:rsidRPr="00FC097F">
        <w:rPr>
          <w:rFonts w:asciiTheme="majorBidi" w:hAnsiTheme="majorBidi" w:cstheme="majorBidi"/>
          <w:b/>
          <w:bCs/>
          <w:rtl/>
        </w:rPr>
        <w:t xml:space="preserve"> בטלה קביעות כולם.</w:t>
      </w:r>
    </w:p>
    <w:p w:rsidR="004F6E0A" w:rsidRPr="00FC097F" w:rsidRDefault="00C53DFD" w:rsidP="00FC097F">
      <w:pPr>
        <w:jc w:val="both"/>
        <w:rPr>
          <w:rFonts w:asciiTheme="majorBidi" w:hAnsiTheme="majorBidi" w:cstheme="majorBidi"/>
          <w:b/>
          <w:bCs/>
          <w:rtl/>
        </w:rPr>
      </w:pPr>
      <w:r w:rsidRPr="00FC097F">
        <w:rPr>
          <w:rFonts w:asciiTheme="majorBidi" w:hAnsiTheme="majorBidi" w:cstheme="majorBidi"/>
          <w:rtl/>
        </w:rPr>
        <w:t>עי'</w:t>
      </w:r>
      <w:r w:rsidR="006C7F69" w:rsidRPr="00FC097F">
        <w:rPr>
          <w:rFonts w:asciiTheme="majorBidi" w:hAnsiTheme="majorBidi" w:cstheme="majorBidi"/>
          <w:rtl/>
        </w:rPr>
        <w:t xml:space="preserve"> </w:t>
      </w:r>
      <w:r w:rsidR="006C7F69" w:rsidRPr="00FC097F">
        <w:rPr>
          <w:rFonts w:asciiTheme="majorBidi" w:hAnsiTheme="majorBidi" w:cstheme="majorBidi"/>
          <w:b/>
          <w:bCs/>
          <w:rtl/>
        </w:rPr>
        <w:t>רשב"א [תוה"ב ב"ד ש"ב ל.</w:t>
      </w:r>
      <w:r w:rsidR="004F6E0A" w:rsidRPr="00FC097F">
        <w:rPr>
          <w:rFonts w:asciiTheme="majorBidi" w:hAnsiTheme="majorBidi" w:cstheme="majorBidi"/>
          <w:b/>
          <w:bCs/>
          <w:rtl/>
        </w:rPr>
        <w:t xml:space="preserve">] </w:t>
      </w:r>
      <w:r w:rsidR="004F6E0A" w:rsidRPr="00FC097F">
        <w:rPr>
          <w:rFonts w:asciiTheme="majorBidi" w:hAnsiTheme="majorBidi" w:cstheme="majorBidi"/>
          <w:rtl/>
        </w:rPr>
        <w:t>(וראה שם שלא נקט זה בתור חידוש אלא בתור דבר פשוט בתוך דבריו), שאף</w:t>
      </w:r>
      <w:r w:rsidR="006C7F69" w:rsidRPr="00FC097F">
        <w:rPr>
          <w:rFonts w:asciiTheme="majorBidi" w:hAnsiTheme="majorBidi" w:cstheme="majorBidi"/>
          <w:rtl/>
        </w:rPr>
        <w:t xml:space="preserve"> שבפ</w:t>
      </w:r>
      <w:r w:rsidR="004F6E0A" w:rsidRPr="00FC097F">
        <w:rPr>
          <w:rFonts w:asciiTheme="majorBidi" w:hAnsiTheme="majorBidi" w:cstheme="majorBidi"/>
          <w:rtl/>
        </w:rPr>
        <w:t xml:space="preserve">ירש לפנינו מן הקבוע לא אזלינן בתר רובא, היינו דווקא כאשר השאר נשארו קבועים במקומם.  אבל כאשר פירשה כל התערובת ממקומה, וכעת אין קביעות בכלל, אזלינן בתר רובא אף כאשר היתה הפרישה לפנינו. ומובאים הדברים </w:t>
      </w:r>
      <w:r w:rsidRPr="00FC097F">
        <w:rPr>
          <w:rFonts w:asciiTheme="majorBidi" w:hAnsiTheme="majorBidi" w:cstheme="majorBidi"/>
          <w:b/>
          <w:bCs/>
          <w:rtl/>
        </w:rPr>
        <w:t>בב"י [</w:t>
      </w:r>
      <w:r w:rsidR="004F6E0A" w:rsidRPr="00FC097F">
        <w:rPr>
          <w:rFonts w:asciiTheme="majorBidi" w:hAnsiTheme="majorBidi" w:cstheme="majorBidi"/>
          <w:b/>
          <w:bCs/>
          <w:rtl/>
        </w:rPr>
        <w:t>ס"</w:t>
      </w:r>
      <w:r w:rsidRPr="00FC097F">
        <w:rPr>
          <w:rFonts w:asciiTheme="majorBidi" w:hAnsiTheme="majorBidi" w:cstheme="majorBidi"/>
          <w:b/>
          <w:bCs/>
          <w:rtl/>
        </w:rPr>
        <w:t>ה ד"ה ומ"ש ולפיכך, לקראת סוה"ד]</w:t>
      </w:r>
      <w:r w:rsidR="004F6E0A" w:rsidRPr="00FC097F">
        <w:rPr>
          <w:rFonts w:asciiTheme="majorBidi" w:hAnsiTheme="majorBidi" w:cstheme="majorBidi"/>
          <w:b/>
          <w:bCs/>
          <w:rtl/>
        </w:rPr>
        <w:t>.</w:t>
      </w:r>
    </w:p>
    <w:p w:rsidR="006C7F69" w:rsidRPr="00FC097F" w:rsidRDefault="004F6E0A" w:rsidP="00FC097F">
      <w:pPr>
        <w:jc w:val="both"/>
        <w:rPr>
          <w:rFonts w:asciiTheme="majorBidi" w:hAnsiTheme="majorBidi" w:cstheme="majorBidi"/>
          <w:rtl/>
        </w:rPr>
      </w:pPr>
      <w:r w:rsidRPr="00FC097F">
        <w:rPr>
          <w:rFonts w:asciiTheme="majorBidi" w:hAnsiTheme="majorBidi" w:cstheme="majorBidi"/>
          <w:rtl/>
        </w:rPr>
        <w:t xml:space="preserve">והנה עי' בגמ' </w:t>
      </w:r>
      <w:r w:rsidRPr="00FC097F">
        <w:rPr>
          <w:rFonts w:asciiTheme="majorBidi" w:hAnsiTheme="majorBidi" w:cstheme="majorBidi"/>
          <w:b/>
          <w:bCs/>
          <w:rtl/>
        </w:rPr>
        <w:t xml:space="preserve">יומא </w:t>
      </w:r>
      <w:r w:rsidR="00CB229E" w:rsidRPr="00FC097F">
        <w:rPr>
          <w:rFonts w:asciiTheme="majorBidi" w:hAnsiTheme="majorBidi" w:cstheme="majorBidi"/>
          <w:b/>
          <w:bCs/>
          <w:rtl/>
        </w:rPr>
        <w:t>[</w:t>
      </w:r>
      <w:r w:rsidRPr="00FC097F">
        <w:rPr>
          <w:rFonts w:asciiTheme="majorBidi" w:hAnsiTheme="majorBidi" w:cstheme="majorBidi"/>
          <w:b/>
          <w:bCs/>
          <w:rtl/>
        </w:rPr>
        <w:t>פ"ד:</w:t>
      </w:r>
      <w:r w:rsidR="00CB229E" w:rsidRPr="00FC097F">
        <w:rPr>
          <w:rFonts w:asciiTheme="majorBidi" w:hAnsiTheme="majorBidi" w:cstheme="majorBidi"/>
          <w:b/>
          <w:bCs/>
          <w:rtl/>
        </w:rPr>
        <w:t xml:space="preserve"> "למה לי דאפילו" וכו' – "הא דפרוש מקצתייהו"]</w:t>
      </w:r>
      <w:r w:rsidRPr="00FC097F">
        <w:rPr>
          <w:rFonts w:asciiTheme="majorBidi" w:hAnsiTheme="majorBidi" w:cstheme="majorBidi"/>
          <w:rtl/>
        </w:rPr>
        <w:t>, ומבואר שם שבעיקרון, אף לגבי פיקו"נ אמרינן כל דפריש מרובא פריש ואזלינן בתר רובא.  אלא שישנם מקרים ש</w:t>
      </w:r>
      <w:r w:rsidR="00CB229E" w:rsidRPr="00FC097F">
        <w:rPr>
          <w:rFonts w:asciiTheme="majorBidi" w:hAnsiTheme="majorBidi" w:cstheme="majorBidi"/>
          <w:rtl/>
        </w:rPr>
        <w:t>אף שלגבי כל דיני כל התורה</w:t>
      </w:r>
      <w:r w:rsidRPr="00FC097F">
        <w:rPr>
          <w:rFonts w:asciiTheme="majorBidi" w:hAnsiTheme="majorBidi" w:cstheme="majorBidi"/>
          <w:rtl/>
        </w:rPr>
        <w:t xml:space="preserve"> נלך בהם אחר הרוב</w:t>
      </w:r>
      <w:r w:rsidR="00CB229E" w:rsidRPr="00FC097F">
        <w:rPr>
          <w:rFonts w:asciiTheme="majorBidi" w:hAnsiTheme="majorBidi" w:cstheme="majorBidi"/>
          <w:rtl/>
        </w:rPr>
        <w:t>, לגבי פיקו"נ נגדירם כקבוע ולא נלך בהם אחר הרוב.  ועיי"ש פירש"י ותוס'</w:t>
      </w:r>
      <w:r w:rsidR="00C53DFD" w:rsidRPr="00FC097F">
        <w:rPr>
          <w:rFonts w:asciiTheme="majorBidi" w:hAnsiTheme="majorBidi" w:cstheme="majorBidi"/>
          <w:rtl/>
        </w:rPr>
        <w:t xml:space="preserve"> מה שביארו בזה</w:t>
      </w:r>
      <w:r w:rsidR="00CB229E" w:rsidRPr="00FC097F">
        <w:rPr>
          <w:rFonts w:asciiTheme="majorBidi" w:hAnsiTheme="majorBidi" w:cstheme="majorBidi"/>
          <w:rtl/>
        </w:rPr>
        <w:t xml:space="preserve">. אבל עי' </w:t>
      </w:r>
      <w:r w:rsidR="00CB229E" w:rsidRPr="00FC097F">
        <w:rPr>
          <w:rFonts w:asciiTheme="majorBidi" w:hAnsiTheme="majorBidi" w:cstheme="majorBidi"/>
          <w:b/>
          <w:bCs/>
          <w:rtl/>
        </w:rPr>
        <w:t xml:space="preserve">רא"ש </w:t>
      </w:r>
      <w:r w:rsidR="004945F1">
        <w:rPr>
          <w:rFonts w:asciiTheme="majorBidi" w:hAnsiTheme="majorBidi" w:cstheme="majorBidi" w:hint="cs"/>
          <w:b/>
          <w:bCs/>
          <w:rtl/>
        </w:rPr>
        <w:t xml:space="preserve">שם </w:t>
      </w:r>
      <w:r w:rsidR="00CB229E" w:rsidRPr="00FC097F">
        <w:rPr>
          <w:rFonts w:asciiTheme="majorBidi" w:hAnsiTheme="majorBidi" w:cstheme="majorBidi"/>
          <w:b/>
          <w:bCs/>
          <w:rtl/>
        </w:rPr>
        <w:t>[פ"ח סימן ט"ו]</w:t>
      </w:r>
      <w:r w:rsidR="00C53DFD" w:rsidRPr="00FC097F">
        <w:rPr>
          <w:rFonts w:asciiTheme="majorBidi" w:hAnsiTheme="majorBidi" w:cstheme="majorBidi"/>
          <w:rtl/>
        </w:rPr>
        <w:t>, שביאר שלגבי פיקו"נ (כאשר היו תשעה גויים וישראל אחד ונפלה מפולת על אחד ולא ידוע מי), אם נשארו חלק מהאנשים במקומם, נחשב קבוע, אף שהאדם עצמו פרש. ורק אם פירשו כל האנשים ממקומם, אזי אזלינן בתר רובא גם לגבי פיקו"נ</w:t>
      </w:r>
      <w:r w:rsidR="004D05DA">
        <w:rPr>
          <w:rFonts w:asciiTheme="majorBidi" w:hAnsiTheme="majorBidi" w:cstheme="majorBidi" w:hint="cs"/>
          <w:rtl/>
        </w:rPr>
        <w:t xml:space="preserve"> [ומקור פירוש זה הוא ברמב"ם שם]</w:t>
      </w:r>
      <w:r w:rsidR="00C53DFD" w:rsidRPr="00FC097F">
        <w:rPr>
          <w:rFonts w:asciiTheme="majorBidi" w:hAnsiTheme="majorBidi" w:cstheme="majorBidi"/>
          <w:rtl/>
        </w:rPr>
        <w:t xml:space="preserve">.  ועי' </w:t>
      </w:r>
      <w:r w:rsidR="00C53DFD" w:rsidRPr="00FC097F">
        <w:rPr>
          <w:rFonts w:asciiTheme="majorBidi" w:hAnsiTheme="majorBidi" w:cstheme="majorBidi"/>
          <w:b/>
          <w:bCs/>
          <w:rtl/>
        </w:rPr>
        <w:t>ביאוהגר"א [על הרמ"א סעיף ו']</w:t>
      </w:r>
      <w:r w:rsidR="00C53DFD" w:rsidRPr="00FC097F">
        <w:rPr>
          <w:rFonts w:asciiTheme="majorBidi" w:hAnsiTheme="majorBidi" w:cstheme="majorBidi"/>
          <w:rtl/>
        </w:rPr>
        <w:t xml:space="preserve"> שכתב שגמ' זו היא מקור חידוש הרשב"א שכאשר בטלה קביעות כולם אזלינן בתר רובא אף בפירש בפנינו (וצריך להבין הקשר בין פיקו"נ לפירש בפנינו).</w:t>
      </w:r>
      <w:r w:rsidR="00CB229E" w:rsidRPr="00FC097F">
        <w:rPr>
          <w:rFonts w:asciiTheme="majorBidi" w:hAnsiTheme="majorBidi" w:cstheme="majorBidi"/>
          <w:rtl/>
        </w:rPr>
        <w:t xml:space="preserve"> </w:t>
      </w:r>
      <w:r w:rsidRPr="00FC097F">
        <w:rPr>
          <w:rFonts w:asciiTheme="majorBidi" w:hAnsiTheme="majorBidi" w:cstheme="majorBidi"/>
          <w:rtl/>
        </w:rPr>
        <w:t xml:space="preserve">  </w:t>
      </w:r>
      <w:r w:rsidR="00C53DFD" w:rsidRPr="00FC097F">
        <w:rPr>
          <w:rFonts w:asciiTheme="majorBidi" w:hAnsiTheme="majorBidi" w:cstheme="majorBidi"/>
          <w:rtl/>
        </w:rPr>
        <w:t xml:space="preserve">  ועי' </w:t>
      </w:r>
      <w:r w:rsidR="00C53DFD" w:rsidRPr="00FC097F">
        <w:rPr>
          <w:rFonts w:asciiTheme="majorBidi" w:hAnsiTheme="majorBidi" w:cstheme="majorBidi"/>
          <w:b/>
          <w:bCs/>
          <w:rtl/>
        </w:rPr>
        <w:t>תוס' שאנץ ותוהרא"ש [פסחים ט':]</w:t>
      </w:r>
      <w:r w:rsidR="00C53DFD" w:rsidRPr="00FC097F">
        <w:rPr>
          <w:rFonts w:asciiTheme="majorBidi" w:hAnsiTheme="majorBidi" w:cstheme="majorBidi"/>
          <w:rtl/>
        </w:rPr>
        <w:t xml:space="preserve"> שהקשו כיצד רוצה הגמ' בזבחים להתיר את הבהמות על ידי כבישה, הלא הפרישה היא בפנינו. וביארו</w:t>
      </w:r>
      <w:r w:rsidR="00C627DB">
        <w:rPr>
          <w:rFonts w:asciiTheme="majorBidi" w:hAnsiTheme="majorBidi" w:cstheme="majorBidi"/>
          <w:rtl/>
        </w:rPr>
        <w:t xml:space="preserve"> שכיון שבטלה קביעות כל הבהמות, </w:t>
      </w:r>
      <w:r w:rsidR="005326F2">
        <w:rPr>
          <w:rFonts w:asciiTheme="majorBidi" w:hAnsiTheme="majorBidi" w:cstheme="majorBidi" w:hint="cs"/>
          <w:rtl/>
        </w:rPr>
        <w:t>מ</w:t>
      </w:r>
      <w:r w:rsidR="00C53DFD" w:rsidRPr="00FC097F">
        <w:rPr>
          <w:rFonts w:asciiTheme="majorBidi" w:hAnsiTheme="majorBidi" w:cstheme="majorBidi"/>
          <w:rtl/>
        </w:rPr>
        <w:t>ותר אף בפירש בפנינו. והרי זה ממש כדברי הרשב"א הנ"ל, וממילא ייתכן שהגמ' בזבחים היא היא מקור הרשב"א.</w:t>
      </w:r>
    </w:p>
    <w:p w:rsidR="00C53DFD" w:rsidRPr="00FC097F" w:rsidRDefault="00C53DFD" w:rsidP="00FC097F">
      <w:pPr>
        <w:jc w:val="both"/>
        <w:rPr>
          <w:rFonts w:asciiTheme="majorBidi" w:hAnsiTheme="majorBidi" w:cstheme="majorBidi"/>
          <w:rtl/>
        </w:rPr>
      </w:pPr>
      <w:r w:rsidRPr="00FC097F">
        <w:rPr>
          <w:rFonts w:asciiTheme="majorBidi" w:hAnsiTheme="majorBidi" w:cstheme="majorBidi"/>
          <w:rtl/>
        </w:rPr>
        <w:t xml:space="preserve">עי' </w:t>
      </w:r>
      <w:r w:rsidRPr="00FC097F">
        <w:rPr>
          <w:rFonts w:asciiTheme="majorBidi" w:hAnsiTheme="majorBidi" w:cstheme="majorBidi"/>
          <w:b/>
          <w:bCs/>
          <w:rtl/>
        </w:rPr>
        <w:t xml:space="preserve">ש"ך סקל"ז </w:t>
      </w:r>
      <w:r w:rsidRPr="00FC097F">
        <w:rPr>
          <w:rFonts w:asciiTheme="majorBidi" w:hAnsiTheme="majorBidi" w:cstheme="majorBidi"/>
          <w:rtl/>
        </w:rPr>
        <w:t xml:space="preserve">שדין זה </w:t>
      </w:r>
      <w:r w:rsidR="00C627DB">
        <w:rPr>
          <w:rFonts w:asciiTheme="majorBidi" w:hAnsiTheme="majorBidi" w:cstheme="majorBidi" w:hint="cs"/>
          <w:rtl/>
        </w:rPr>
        <w:t xml:space="preserve">של ביטול הקביעות </w:t>
      </w:r>
      <w:r w:rsidRPr="00FC097F">
        <w:rPr>
          <w:rFonts w:asciiTheme="majorBidi" w:hAnsiTheme="majorBidi" w:cstheme="majorBidi"/>
          <w:rtl/>
        </w:rPr>
        <w:t xml:space="preserve">הוא אף כאשר זזו כל הבהמות יחדיו למקום אחר. ועי' ביאוהגר"א הנ"ל, שייתכן שהיינו דווקא לדעת הרא"ש, אבל לדעת הרשב"א צריך דווקא שיתפזרו כל אחד למקום אחר. </w:t>
      </w:r>
    </w:p>
    <w:p w:rsidR="00C53DFD" w:rsidRPr="00FC097F" w:rsidRDefault="00C53DFD" w:rsidP="00FC097F">
      <w:pPr>
        <w:jc w:val="both"/>
        <w:rPr>
          <w:rFonts w:asciiTheme="majorBidi" w:hAnsiTheme="majorBidi" w:cstheme="majorBidi"/>
          <w:rtl/>
        </w:rPr>
      </w:pPr>
      <w:r w:rsidRPr="00FC097F">
        <w:rPr>
          <w:rFonts w:asciiTheme="majorBidi" w:hAnsiTheme="majorBidi" w:cstheme="majorBidi"/>
          <w:rtl/>
        </w:rPr>
        <w:t>והנה דין זה דהרשב"א לא נפסק להדיא בשו"ע ורמ"א, א</w:t>
      </w:r>
      <w:r w:rsidR="00747C77" w:rsidRPr="00FC097F">
        <w:rPr>
          <w:rFonts w:asciiTheme="majorBidi" w:hAnsiTheme="majorBidi" w:cstheme="majorBidi"/>
          <w:rtl/>
        </w:rPr>
        <w:t xml:space="preserve">בל עי' </w:t>
      </w:r>
      <w:r w:rsidR="00747C77" w:rsidRPr="00FC097F">
        <w:rPr>
          <w:rFonts w:asciiTheme="majorBidi" w:hAnsiTheme="majorBidi" w:cstheme="majorBidi"/>
          <w:b/>
          <w:bCs/>
          <w:rtl/>
        </w:rPr>
        <w:t>ש"ך סקל"ה</w:t>
      </w:r>
      <w:r w:rsidR="00747C77" w:rsidRPr="00FC097F">
        <w:rPr>
          <w:rFonts w:asciiTheme="majorBidi" w:hAnsiTheme="majorBidi" w:cstheme="majorBidi"/>
          <w:rtl/>
        </w:rPr>
        <w:t xml:space="preserve"> שפסקו, ועי' ביאוהגר"א הנ"ל שיש לכוון בדברי הרמ"א כאן, חידוש זה.</w:t>
      </w:r>
    </w:p>
    <w:p w:rsidR="00FC097F" w:rsidRDefault="00FC097F" w:rsidP="00FC097F">
      <w:pPr>
        <w:jc w:val="both"/>
        <w:rPr>
          <w:rFonts w:asciiTheme="majorBidi" w:hAnsiTheme="majorBidi" w:cstheme="majorBidi"/>
          <w:b/>
          <w:bCs/>
          <w:rtl/>
        </w:rPr>
      </w:pPr>
    </w:p>
    <w:p w:rsidR="006C7F69" w:rsidRPr="00FC097F" w:rsidRDefault="00321A17" w:rsidP="00FC097F">
      <w:pPr>
        <w:jc w:val="both"/>
        <w:rPr>
          <w:rFonts w:asciiTheme="majorBidi" w:hAnsiTheme="majorBidi" w:cstheme="majorBidi"/>
          <w:rtl/>
        </w:rPr>
      </w:pPr>
      <w:r w:rsidRPr="00FC097F">
        <w:rPr>
          <w:rFonts w:asciiTheme="majorBidi" w:hAnsiTheme="majorBidi" w:cstheme="majorBidi"/>
          <w:b/>
          <w:bCs/>
          <w:rtl/>
        </w:rPr>
        <w:t>ב</w:t>
      </w:r>
      <w:r w:rsidR="0024414B" w:rsidRPr="00FC097F">
        <w:rPr>
          <w:rFonts w:asciiTheme="majorBidi" w:hAnsiTheme="majorBidi" w:cstheme="majorBidi"/>
          <w:b/>
          <w:bCs/>
          <w:rtl/>
        </w:rPr>
        <w:t>,</w:t>
      </w:r>
      <w:r w:rsidR="00FC097F">
        <w:rPr>
          <w:rFonts w:asciiTheme="majorBidi" w:hAnsiTheme="majorBidi" w:cstheme="majorBidi"/>
          <w:b/>
          <w:bCs/>
          <w:rtl/>
        </w:rPr>
        <w:t xml:space="preserve"> </w:t>
      </w:r>
      <w:r w:rsidR="0024414B" w:rsidRPr="00FC097F">
        <w:rPr>
          <w:rFonts w:asciiTheme="majorBidi" w:hAnsiTheme="majorBidi" w:cstheme="majorBidi"/>
          <w:b/>
          <w:bCs/>
          <w:rtl/>
        </w:rPr>
        <w:t xml:space="preserve"> פירש מחצה. </w:t>
      </w:r>
    </w:p>
    <w:p w:rsidR="0024414B" w:rsidRPr="00FC097F" w:rsidRDefault="00C207D4" w:rsidP="00FC097F">
      <w:pPr>
        <w:jc w:val="both"/>
        <w:rPr>
          <w:rFonts w:asciiTheme="majorBidi" w:hAnsiTheme="majorBidi" w:cstheme="majorBidi"/>
          <w:rtl/>
        </w:rPr>
      </w:pPr>
      <w:r w:rsidRPr="00FC097F">
        <w:rPr>
          <w:rFonts w:asciiTheme="majorBidi" w:hAnsiTheme="majorBidi" w:cstheme="majorBidi"/>
          <w:rtl/>
        </w:rPr>
        <w:t xml:space="preserve">עי' ש"ך [סקל"ד] שציטט את </w:t>
      </w:r>
      <w:r w:rsidR="0024414B" w:rsidRPr="00FC097F">
        <w:rPr>
          <w:rFonts w:asciiTheme="majorBidi" w:hAnsiTheme="majorBidi" w:cstheme="majorBidi"/>
          <w:rtl/>
        </w:rPr>
        <w:t xml:space="preserve"> לשון הרשב"א </w:t>
      </w:r>
      <w:r w:rsidRPr="00FC097F">
        <w:rPr>
          <w:rFonts w:asciiTheme="majorBidi" w:hAnsiTheme="majorBidi" w:cstheme="majorBidi"/>
          <w:rtl/>
        </w:rPr>
        <w:t xml:space="preserve">במשה"ב ובתוה"ק, </w:t>
      </w:r>
      <w:r w:rsidR="0024414B" w:rsidRPr="00FC097F">
        <w:rPr>
          <w:rFonts w:asciiTheme="majorBidi" w:hAnsiTheme="majorBidi" w:cstheme="majorBidi"/>
          <w:rtl/>
        </w:rPr>
        <w:t>במקומות שאזלינן בתר רובא,</w:t>
      </w:r>
      <w:r w:rsidRPr="00FC097F">
        <w:rPr>
          <w:rFonts w:asciiTheme="majorBidi" w:hAnsiTheme="majorBidi" w:cstheme="majorBidi"/>
          <w:rtl/>
        </w:rPr>
        <w:t xml:space="preserve"> היינו מחמת ש"כל דפריש מרובא פריש, ואיסורא בתוך רובא אישתאר". והיינו שצריך לסמוך גם על סברת איסורא ברובא אישתאר. </w:t>
      </w:r>
      <w:r w:rsidR="0024414B" w:rsidRPr="00FC097F">
        <w:rPr>
          <w:rFonts w:asciiTheme="majorBidi" w:hAnsiTheme="majorBidi" w:cstheme="majorBidi"/>
          <w:rtl/>
        </w:rPr>
        <w:t>וכתב הש"ך שלפי"ז כאשר פירשו חמישה מתוך העשרה בבת אחת, הרי הם אסורים דלא שייך לומר איסורא ברובא איתא.    ולכאורה התחדש כאן בדברי הרשב"א חידוש רב שצריך למצוא את מקורו, שמדרבנן, לעולם אין לסמוך על כל דפריש מרובא פריש, אלא במקרה שקיימת בו גם סברת איסורא ברו</w:t>
      </w:r>
      <w:r w:rsidRPr="00FC097F">
        <w:rPr>
          <w:rFonts w:asciiTheme="majorBidi" w:hAnsiTheme="majorBidi" w:cstheme="majorBidi"/>
          <w:rtl/>
        </w:rPr>
        <w:t>בא איתיה.    ולפי"ז, הא דרצתה הגמ' בזבחים להתיר על ידי כבישה, היינו רק משום שלאחר הכבישה תהיה פרישה נוספת,</w:t>
      </w:r>
      <w:r w:rsidR="00C568CB">
        <w:rPr>
          <w:rFonts w:asciiTheme="majorBidi" w:hAnsiTheme="majorBidi" w:cstheme="majorBidi" w:hint="cs"/>
          <w:rtl/>
        </w:rPr>
        <w:t xml:space="preserve"> או ששם מיירי שהתפזרו הבהמות כל אחת למקום אחר.</w:t>
      </w:r>
      <w:r w:rsidRPr="00FC097F">
        <w:rPr>
          <w:rFonts w:asciiTheme="majorBidi" w:hAnsiTheme="majorBidi" w:cstheme="majorBidi"/>
          <w:rtl/>
        </w:rPr>
        <w:t xml:space="preserve"> ועי' לקמן במה שהתבאר </w:t>
      </w:r>
      <w:r w:rsidR="00C568CB">
        <w:rPr>
          <w:rFonts w:asciiTheme="majorBidi" w:hAnsiTheme="majorBidi" w:cstheme="majorBidi" w:hint="cs"/>
          <w:rtl/>
        </w:rPr>
        <w:t xml:space="preserve">בס"ד </w:t>
      </w:r>
      <w:r w:rsidRPr="00FC097F">
        <w:rPr>
          <w:rFonts w:asciiTheme="majorBidi" w:hAnsiTheme="majorBidi" w:cstheme="majorBidi"/>
          <w:rtl/>
        </w:rPr>
        <w:t>בדברי הרמ"א.</w:t>
      </w:r>
    </w:p>
    <w:p w:rsidR="00FC097F" w:rsidRDefault="00FC097F" w:rsidP="00FC097F">
      <w:pPr>
        <w:jc w:val="both"/>
        <w:rPr>
          <w:rFonts w:asciiTheme="majorBidi" w:hAnsiTheme="majorBidi" w:cstheme="majorBidi"/>
          <w:rtl/>
        </w:rPr>
      </w:pPr>
    </w:p>
    <w:p w:rsidR="00C207D4" w:rsidRPr="00FC097F" w:rsidRDefault="00FC097F" w:rsidP="00FC097F">
      <w:pPr>
        <w:jc w:val="both"/>
        <w:rPr>
          <w:rFonts w:asciiTheme="majorBidi" w:hAnsiTheme="majorBidi" w:cstheme="majorBidi"/>
          <w:b/>
          <w:bCs/>
          <w:rtl/>
        </w:rPr>
      </w:pPr>
      <w:r>
        <w:rPr>
          <w:rFonts w:asciiTheme="majorBidi" w:hAnsiTheme="majorBidi" w:cstheme="majorBidi"/>
          <w:b/>
          <w:bCs/>
          <w:rtl/>
        </w:rPr>
        <w:t>ג,</w:t>
      </w:r>
      <w:r w:rsidR="00C207D4" w:rsidRPr="00FC097F">
        <w:rPr>
          <w:rFonts w:asciiTheme="majorBidi" w:hAnsiTheme="majorBidi" w:cstheme="majorBidi"/>
          <w:b/>
          <w:bCs/>
          <w:rtl/>
        </w:rPr>
        <w:t xml:space="preserve"> שניים אחרונים</w:t>
      </w:r>
    </w:p>
    <w:p w:rsidR="00C207D4" w:rsidRPr="00FC097F" w:rsidRDefault="00C207D4" w:rsidP="00FC097F">
      <w:pPr>
        <w:jc w:val="both"/>
        <w:rPr>
          <w:rFonts w:asciiTheme="majorBidi" w:hAnsiTheme="majorBidi" w:cstheme="majorBidi"/>
          <w:rtl/>
        </w:rPr>
      </w:pPr>
      <w:r w:rsidRPr="00FC097F">
        <w:rPr>
          <w:rFonts w:asciiTheme="majorBidi" w:hAnsiTheme="majorBidi" w:cstheme="majorBidi"/>
          <w:rtl/>
        </w:rPr>
        <w:t xml:space="preserve">עי' בדברי הטור שבבהמות שמתירים על ידי פרישה, את השניים האחרונים אין להתיר, כיון שכבר לא פירשו מהרוב. ומבואר שהמתיר הוא הפרישה בפועל מהרוב. ופסק הרמ"א לדברי הטור אלו. </w:t>
      </w:r>
    </w:p>
    <w:p w:rsidR="006C7F69" w:rsidRPr="00D14A1B" w:rsidRDefault="006C7F69" w:rsidP="00FC097F">
      <w:pPr>
        <w:jc w:val="both"/>
        <w:rPr>
          <w:rFonts w:asciiTheme="majorBidi" w:hAnsiTheme="majorBidi" w:cstheme="majorBidi"/>
          <w:sz w:val="24"/>
          <w:szCs w:val="24"/>
          <w:rtl/>
        </w:rPr>
      </w:pPr>
    </w:p>
    <w:p w:rsidR="00C207D4" w:rsidRPr="00FC097F" w:rsidRDefault="00D14A1B" w:rsidP="00FC097F">
      <w:pPr>
        <w:jc w:val="both"/>
        <w:rPr>
          <w:rFonts w:asciiTheme="majorBidi" w:hAnsiTheme="majorBidi" w:cstheme="majorBidi"/>
          <w:b/>
          <w:bCs/>
          <w:rtl/>
        </w:rPr>
      </w:pPr>
      <w:r>
        <w:rPr>
          <w:rFonts w:asciiTheme="majorBidi" w:hAnsiTheme="majorBidi" w:cstheme="majorBidi"/>
          <w:b/>
          <w:bCs/>
          <w:rtl/>
        </w:rPr>
        <w:t xml:space="preserve">ד, </w:t>
      </w:r>
      <w:r w:rsidR="00C207D4" w:rsidRPr="00FC097F">
        <w:rPr>
          <w:rFonts w:asciiTheme="majorBidi" w:hAnsiTheme="majorBidi" w:cstheme="majorBidi"/>
          <w:b/>
          <w:bCs/>
          <w:rtl/>
        </w:rPr>
        <w:t xml:space="preserve"> דברי הרמ"א</w:t>
      </w:r>
    </w:p>
    <w:p w:rsidR="00C207D4" w:rsidRDefault="00C207D4" w:rsidP="00FC097F">
      <w:pPr>
        <w:jc w:val="both"/>
        <w:rPr>
          <w:rFonts w:asciiTheme="majorBidi" w:hAnsiTheme="majorBidi" w:cstheme="majorBidi" w:hint="cs"/>
          <w:rtl/>
        </w:rPr>
      </w:pPr>
      <w:r w:rsidRPr="00FC097F">
        <w:rPr>
          <w:rFonts w:asciiTheme="majorBidi" w:hAnsiTheme="majorBidi" w:cstheme="majorBidi"/>
          <w:rtl/>
        </w:rPr>
        <w:t xml:space="preserve">הרמ"א מתיר כאשר פירשו כל הבהמות יחדיו, ומבואר בדברי הרמ"א שלאחר פרישתם כולם יחד, צריך עוד פרישה. ועי' בבדה"ש שהיינו משום שפירשו כולם למקום אחד, ואף שבטלה על ידי זה קביעותם, עדיין א"א לומר איסורא ברובא איתא, ועל כן צריך עוד פרישה. </w:t>
      </w:r>
      <w:r w:rsidR="004D05DA">
        <w:rPr>
          <w:rFonts w:asciiTheme="majorBidi" w:hAnsiTheme="majorBidi" w:cstheme="majorBidi" w:hint="cs"/>
          <w:rtl/>
        </w:rPr>
        <w:t>וביתר פשיטות נראה שגם לולי דין קבוע, בשביל עצם דין הלך אחר הרוב צריך פרישה בדווקא ואחרת הוה תערובת וצריך להגיע לדין ביטול ברוב.</w:t>
      </w:r>
      <w:r w:rsidRPr="00FC097F">
        <w:rPr>
          <w:rFonts w:asciiTheme="majorBidi" w:hAnsiTheme="majorBidi" w:cstheme="majorBidi"/>
          <w:rtl/>
        </w:rPr>
        <w:t xml:space="preserve"> אמנם יש לדון האם פרישה זו צריכה להיות דווקא ממילא, או שיכולה להיות בלקיחה בידיים. ועי' בבדה"ש שנקט שצריכה להיות דווק</w:t>
      </w:r>
      <w:r w:rsidR="004D05DA">
        <w:rPr>
          <w:rFonts w:asciiTheme="majorBidi" w:hAnsiTheme="majorBidi" w:cstheme="majorBidi"/>
          <w:rtl/>
        </w:rPr>
        <w:t>א ממילא</w:t>
      </w:r>
      <w:r w:rsidR="004D05DA">
        <w:rPr>
          <w:rFonts w:asciiTheme="majorBidi" w:hAnsiTheme="majorBidi" w:cstheme="majorBidi" w:hint="cs"/>
          <w:rtl/>
        </w:rPr>
        <w:t xml:space="preserve">. וצ"ע מקורו וסברתו.    ויש לבאר שכל שהוא עצמו המפריש </w:t>
      </w:r>
      <w:r w:rsidR="004D05DA">
        <w:rPr>
          <w:rFonts w:asciiTheme="majorBidi" w:hAnsiTheme="majorBidi" w:cstheme="majorBidi"/>
          <w:rtl/>
        </w:rPr>
        <w:t>–</w:t>
      </w:r>
      <w:r w:rsidR="004D05DA">
        <w:rPr>
          <w:rFonts w:asciiTheme="majorBidi" w:hAnsiTheme="majorBidi" w:cstheme="majorBidi" w:hint="cs"/>
          <w:rtl/>
        </w:rPr>
        <w:t xml:space="preserve"> הרי מוגדר שמתייחס לכל התערובת ולוקח ממנה אחד, ושוב אין כאן דין של כל דפריש אלא של תערובת. ורק כאשר הפרישה היתה </w:t>
      </w:r>
      <w:r w:rsidR="004D05DA">
        <w:rPr>
          <w:rFonts w:asciiTheme="majorBidi" w:hAnsiTheme="majorBidi" w:cstheme="majorBidi" w:hint="cs"/>
          <w:rtl/>
        </w:rPr>
        <w:lastRenderedPageBreak/>
        <w:t>ממילא והיא זאת שגרמה לדון על הבהמה הפרושה, מוגדר שהנידון הוא רק עליה ולא על כל התערובת ושייך לומר בה כל דפריש.</w:t>
      </w:r>
    </w:p>
    <w:p w:rsidR="004D05DA" w:rsidRPr="00FC097F" w:rsidRDefault="004D05DA" w:rsidP="00FC097F">
      <w:pPr>
        <w:jc w:val="both"/>
        <w:rPr>
          <w:rFonts w:asciiTheme="majorBidi" w:hAnsiTheme="majorBidi" w:cstheme="majorBidi"/>
          <w:rtl/>
        </w:rPr>
      </w:pPr>
      <w:r>
        <w:rPr>
          <w:rFonts w:asciiTheme="majorBidi" w:hAnsiTheme="majorBidi" w:cstheme="majorBidi" w:hint="cs"/>
          <w:rtl/>
        </w:rPr>
        <w:t>אלא דצ"ע מהגמ' בזבחים שמבואר בה שלולי דין קבוע היה אפשר למשוך ולעשות כל דפריש.</w:t>
      </w:r>
      <w:bookmarkStart w:id="0" w:name="_GoBack"/>
      <w:bookmarkEnd w:id="0"/>
    </w:p>
    <w:p w:rsidR="00C207D4" w:rsidRPr="00FC097F" w:rsidRDefault="00C207D4"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sz w:val="32"/>
          <w:szCs w:val="32"/>
          <w:rtl/>
        </w:rPr>
      </w:pPr>
    </w:p>
    <w:p w:rsidR="00D14A1B" w:rsidRDefault="00D14A1B" w:rsidP="00FC097F">
      <w:pPr>
        <w:jc w:val="both"/>
        <w:rPr>
          <w:rFonts w:asciiTheme="majorBidi" w:hAnsiTheme="majorBidi" w:cstheme="majorBidi"/>
          <w:b/>
          <w:bCs/>
          <w:sz w:val="32"/>
          <w:szCs w:val="32"/>
          <w:rtl/>
        </w:rPr>
      </w:pPr>
    </w:p>
    <w:p w:rsidR="006C7F69" w:rsidRPr="00D14A1B" w:rsidRDefault="006C7F69" w:rsidP="00FC097F">
      <w:pPr>
        <w:jc w:val="both"/>
        <w:rPr>
          <w:rFonts w:asciiTheme="majorBidi" w:hAnsiTheme="majorBidi" w:cstheme="majorBidi"/>
          <w:b/>
          <w:bCs/>
          <w:sz w:val="32"/>
          <w:szCs w:val="32"/>
          <w:rtl/>
        </w:rPr>
      </w:pPr>
      <w:r w:rsidRPr="00D14A1B">
        <w:rPr>
          <w:rFonts w:asciiTheme="majorBidi" w:hAnsiTheme="majorBidi" w:cstheme="majorBidi"/>
          <w:b/>
          <w:bCs/>
          <w:sz w:val="32"/>
          <w:szCs w:val="32"/>
          <w:rtl/>
        </w:rPr>
        <w:t>גזירת שמא יקח מן הקבוע</w:t>
      </w:r>
    </w:p>
    <w:p w:rsidR="00FC097F" w:rsidRPr="00FC097F" w:rsidRDefault="00FC097F" w:rsidP="00FC097F">
      <w:pPr>
        <w:jc w:val="both"/>
        <w:rPr>
          <w:rFonts w:asciiTheme="majorBidi" w:hAnsiTheme="majorBidi" w:cstheme="majorBidi"/>
          <w:b/>
          <w:bCs/>
          <w:rtl/>
        </w:rPr>
      </w:pPr>
      <w:r w:rsidRPr="00FC097F">
        <w:rPr>
          <w:rFonts w:asciiTheme="majorBidi" w:hAnsiTheme="majorBidi" w:cstheme="majorBidi"/>
          <w:b/>
          <w:bCs/>
          <w:rtl/>
        </w:rPr>
        <w:t>מתי גזרינן ומתי לא</w:t>
      </w:r>
    </w:p>
    <w:p w:rsidR="002426DF" w:rsidRPr="00FC097F" w:rsidRDefault="002426DF" w:rsidP="00FC097F">
      <w:pPr>
        <w:jc w:val="both"/>
        <w:rPr>
          <w:rFonts w:asciiTheme="majorBidi" w:hAnsiTheme="majorBidi" w:cstheme="majorBidi"/>
          <w:rtl/>
        </w:rPr>
      </w:pPr>
      <w:r w:rsidRPr="00FC097F">
        <w:rPr>
          <w:rFonts w:asciiTheme="majorBidi" w:hAnsiTheme="majorBidi" w:cstheme="majorBidi"/>
          <w:rtl/>
        </w:rPr>
        <w:t xml:space="preserve">עי' בגמ' </w:t>
      </w:r>
      <w:r w:rsidRPr="00FC097F">
        <w:rPr>
          <w:rFonts w:asciiTheme="majorBidi" w:hAnsiTheme="majorBidi" w:cstheme="majorBidi"/>
          <w:b/>
          <w:bCs/>
          <w:rtl/>
        </w:rPr>
        <w:t>זבחים ע"ג:</w:t>
      </w:r>
      <w:r w:rsidRPr="00FC097F">
        <w:rPr>
          <w:rFonts w:asciiTheme="majorBidi" w:hAnsiTheme="majorBidi" w:cstheme="majorBidi"/>
          <w:rtl/>
        </w:rPr>
        <w:t xml:space="preserve"> שאף כאשר מעיקר הדין אפשר ללכת אחרי הרוב, ישנה גזירה שמא יקח מהקבוע.  ועי' תוה"ב הארוך</w:t>
      </w:r>
      <w:r w:rsidR="00436D17" w:rsidRPr="00FC097F">
        <w:rPr>
          <w:rFonts w:asciiTheme="majorBidi" w:hAnsiTheme="majorBidi" w:cstheme="majorBidi"/>
          <w:rtl/>
        </w:rPr>
        <w:t xml:space="preserve"> שהובא בב"י שהאריך בשני מהלכים מהר"י ומר"ת </w:t>
      </w:r>
      <w:r w:rsidRPr="00FC097F">
        <w:rPr>
          <w:rFonts w:asciiTheme="majorBidi" w:hAnsiTheme="majorBidi" w:cstheme="majorBidi"/>
          <w:rtl/>
        </w:rPr>
        <w:t xml:space="preserve"> אימתי גזרינן ואימתי לא, ופסק להקל כשיטת ר"ת, שגוזרים רק היכא שהוא גורם את הפרישה, וכן פסק השו"ע כאן.</w:t>
      </w:r>
    </w:p>
    <w:p w:rsidR="002426DF" w:rsidRPr="00FC097F" w:rsidRDefault="002426DF" w:rsidP="00FC097F">
      <w:pPr>
        <w:jc w:val="both"/>
        <w:rPr>
          <w:rFonts w:asciiTheme="majorBidi" w:hAnsiTheme="majorBidi" w:cstheme="majorBidi"/>
          <w:rtl/>
        </w:rPr>
      </w:pPr>
      <w:r w:rsidRPr="00FC097F">
        <w:rPr>
          <w:rFonts w:asciiTheme="majorBidi" w:hAnsiTheme="majorBidi" w:cstheme="majorBidi"/>
          <w:rtl/>
        </w:rPr>
        <w:t xml:space="preserve">אמנם עי' </w:t>
      </w:r>
      <w:r w:rsidRPr="00D14A1B">
        <w:rPr>
          <w:rFonts w:asciiTheme="majorBidi" w:hAnsiTheme="majorBidi" w:cstheme="majorBidi"/>
          <w:b/>
          <w:bCs/>
          <w:rtl/>
        </w:rPr>
        <w:t xml:space="preserve">פר"ח כאן </w:t>
      </w:r>
      <w:r w:rsidR="00436D17" w:rsidRPr="00D14A1B">
        <w:rPr>
          <w:rFonts w:asciiTheme="majorBidi" w:hAnsiTheme="majorBidi" w:cstheme="majorBidi"/>
          <w:b/>
          <w:bCs/>
          <w:rtl/>
        </w:rPr>
        <w:t xml:space="preserve">(סקכ"ו) </w:t>
      </w:r>
      <w:r w:rsidR="00436D17" w:rsidRPr="00FC097F">
        <w:rPr>
          <w:rFonts w:asciiTheme="majorBidi" w:hAnsiTheme="majorBidi" w:cstheme="majorBidi"/>
          <w:rtl/>
        </w:rPr>
        <w:t xml:space="preserve">שדעת ר"ת עצמו אינה ברורה, כיון שהוא התיר אף להפריש בידיים, ועיי"ש במה שהביא מדברי התוס' והרא"ש בדעת ר"ת.  </w:t>
      </w:r>
      <w:r w:rsidR="00D14A1B">
        <w:rPr>
          <w:rFonts w:asciiTheme="majorBidi" w:hAnsiTheme="majorBidi" w:cstheme="majorBidi" w:hint="cs"/>
          <w:rtl/>
        </w:rPr>
        <w:t xml:space="preserve">[ועי' </w:t>
      </w:r>
      <w:r w:rsidR="00D14A1B">
        <w:rPr>
          <w:rFonts w:asciiTheme="majorBidi" w:hAnsiTheme="majorBidi" w:cstheme="majorBidi" w:hint="cs"/>
          <w:b/>
          <w:bCs/>
          <w:rtl/>
        </w:rPr>
        <w:t>משב"ז ז'</w:t>
      </w:r>
      <w:r w:rsidR="00D14A1B">
        <w:rPr>
          <w:rFonts w:asciiTheme="majorBidi" w:hAnsiTheme="majorBidi" w:cstheme="majorBidi" w:hint="cs"/>
          <w:rtl/>
        </w:rPr>
        <w:t xml:space="preserve"> מה שהאריך בזה.]</w:t>
      </w:r>
      <w:r w:rsidR="00436D17" w:rsidRPr="00FC097F">
        <w:rPr>
          <w:rFonts w:asciiTheme="majorBidi" w:hAnsiTheme="majorBidi" w:cstheme="majorBidi"/>
          <w:rtl/>
        </w:rPr>
        <w:t xml:space="preserve">      </w:t>
      </w:r>
    </w:p>
    <w:p w:rsidR="00436D17" w:rsidRPr="00D14A1B" w:rsidRDefault="00436D17" w:rsidP="00FC097F">
      <w:pPr>
        <w:jc w:val="both"/>
        <w:rPr>
          <w:rFonts w:asciiTheme="majorBidi" w:hAnsiTheme="majorBidi" w:cstheme="majorBidi"/>
          <w:rtl/>
        </w:rPr>
      </w:pPr>
      <w:r w:rsidRPr="00FC097F">
        <w:rPr>
          <w:rFonts w:asciiTheme="majorBidi" w:hAnsiTheme="majorBidi" w:cstheme="majorBidi"/>
          <w:rtl/>
        </w:rPr>
        <w:t xml:space="preserve">ועי' </w:t>
      </w:r>
      <w:r w:rsidRPr="00FC097F">
        <w:rPr>
          <w:rFonts w:asciiTheme="majorBidi" w:hAnsiTheme="majorBidi" w:cstheme="majorBidi"/>
          <w:b/>
          <w:bCs/>
          <w:rtl/>
        </w:rPr>
        <w:t>דרכי משה</w:t>
      </w:r>
      <w:r w:rsidRPr="00FC097F">
        <w:rPr>
          <w:rFonts w:asciiTheme="majorBidi" w:hAnsiTheme="majorBidi" w:cstheme="majorBidi"/>
          <w:rtl/>
        </w:rPr>
        <w:t xml:space="preserve"> </w:t>
      </w:r>
      <w:r w:rsidR="00FC097F">
        <w:rPr>
          <w:rFonts w:asciiTheme="majorBidi" w:hAnsiTheme="majorBidi" w:cstheme="majorBidi" w:hint="cs"/>
          <w:rtl/>
        </w:rPr>
        <w:t xml:space="preserve"> (</w:t>
      </w:r>
      <w:r w:rsidR="00FC097F" w:rsidRPr="00FC097F">
        <w:rPr>
          <w:rFonts w:asciiTheme="majorBidi" w:hAnsiTheme="majorBidi" w:cstheme="majorBidi" w:hint="cs"/>
          <w:b/>
          <w:bCs/>
          <w:rtl/>
        </w:rPr>
        <w:t>אות ה'</w:t>
      </w:r>
      <w:r w:rsidR="00FC097F">
        <w:rPr>
          <w:rFonts w:asciiTheme="majorBidi" w:hAnsiTheme="majorBidi" w:cstheme="majorBidi" w:hint="cs"/>
          <w:rtl/>
        </w:rPr>
        <w:t xml:space="preserve">) </w:t>
      </w:r>
      <w:r w:rsidRPr="00FC097F">
        <w:rPr>
          <w:rFonts w:asciiTheme="majorBidi" w:hAnsiTheme="majorBidi" w:cstheme="majorBidi"/>
          <w:rtl/>
        </w:rPr>
        <w:t xml:space="preserve">שהביא את הסתירות בדעת הטור, וכתב בשם חמיו מהלך חדש, שכל שבטלה קביעות כולם לא גזרינן. ושוב כתב שחילוק זה מפורש ברשב"א (הנ"ל, לגבי ביטול הקביעות), וכן פסק הרמ"א כאן בסעיף.  ועי' בב"ח שתמה על הרמ"א, ועי' בש"ך </w:t>
      </w:r>
      <w:r w:rsidR="00FC097F">
        <w:rPr>
          <w:rFonts w:asciiTheme="majorBidi" w:hAnsiTheme="majorBidi" w:cstheme="majorBidi" w:hint="cs"/>
          <w:rtl/>
        </w:rPr>
        <w:t xml:space="preserve">(סקל"ז) </w:t>
      </w:r>
      <w:r w:rsidRPr="00FC097F">
        <w:rPr>
          <w:rFonts w:asciiTheme="majorBidi" w:hAnsiTheme="majorBidi" w:cstheme="majorBidi"/>
          <w:rtl/>
        </w:rPr>
        <w:t>שכתב לחלק בזה בין דעת הרשב"א שלדידיה ודאי ההיתר נכון לבין דעת הרא"ש והטור, שלדידהו הוא חידוש.   (ודוק היטב שלכאורה יש כאן עירוב של שני נושאים. דהרשב"א כתב שביטול הקביעות של כולם מועיל רק להלכות קבוע, שאף בפירש בפנינו אפשר ללכת אחר הרוב. אך מעולם לא הוזכר בדבריו שמועיל זה לגבי הגזירה. ועי' בב"ח שלכאורה כלולה טענה זו בקושייתו. ועי' רעק"א כאן על דברי הש"ך.)</w:t>
      </w:r>
      <w:r w:rsidR="00D14A1B">
        <w:rPr>
          <w:rFonts w:asciiTheme="majorBidi" w:hAnsiTheme="majorBidi" w:cstheme="majorBidi" w:hint="cs"/>
          <w:rtl/>
        </w:rPr>
        <w:t xml:space="preserve"> </w:t>
      </w:r>
      <w:r w:rsidR="005326F2">
        <w:rPr>
          <w:rFonts w:asciiTheme="majorBidi" w:hAnsiTheme="majorBidi" w:cstheme="majorBidi" w:hint="cs"/>
          <w:rtl/>
        </w:rPr>
        <w:t xml:space="preserve">  </w:t>
      </w:r>
      <w:r w:rsidR="00D14A1B">
        <w:rPr>
          <w:rFonts w:asciiTheme="majorBidi" w:hAnsiTheme="majorBidi" w:cstheme="majorBidi" w:hint="cs"/>
          <w:rtl/>
        </w:rPr>
        <w:t xml:space="preserve">ועי' </w:t>
      </w:r>
      <w:r w:rsidR="00D14A1B">
        <w:rPr>
          <w:rFonts w:asciiTheme="majorBidi" w:hAnsiTheme="majorBidi" w:cstheme="majorBidi" w:hint="cs"/>
          <w:b/>
          <w:bCs/>
          <w:rtl/>
        </w:rPr>
        <w:t xml:space="preserve">ט"ז סק"ז </w:t>
      </w:r>
      <w:r w:rsidR="00D14A1B">
        <w:rPr>
          <w:rFonts w:asciiTheme="majorBidi" w:hAnsiTheme="majorBidi" w:cstheme="majorBidi" w:hint="cs"/>
          <w:rtl/>
        </w:rPr>
        <w:t>מה שכתב בזה.</w:t>
      </w: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D14A1B" w:rsidRDefault="00D14A1B" w:rsidP="00FC097F">
      <w:pPr>
        <w:jc w:val="both"/>
        <w:rPr>
          <w:rFonts w:asciiTheme="majorBidi" w:hAnsiTheme="majorBidi" w:cstheme="majorBidi"/>
          <w:b/>
          <w:bCs/>
          <w:rtl/>
        </w:rPr>
      </w:pPr>
    </w:p>
    <w:p w:rsidR="00FC097F" w:rsidRPr="00FC097F" w:rsidRDefault="00FC097F" w:rsidP="00FC097F">
      <w:pPr>
        <w:jc w:val="both"/>
        <w:rPr>
          <w:rFonts w:asciiTheme="majorBidi" w:hAnsiTheme="majorBidi" w:cstheme="majorBidi"/>
          <w:b/>
          <w:bCs/>
          <w:rtl/>
        </w:rPr>
      </w:pPr>
      <w:r w:rsidRPr="00FC097F">
        <w:rPr>
          <w:rFonts w:asciiTheme="majorBidi" w:hAnsiTheme="majorBidi" w:cstheme="majorBidi"/>
          <w:b/>
          <w:bCs/>
          <w:rtl/>
        </w:rPr>
        <w:t>להלכה</w:t>
      </w:r>
    </w:p>
    <w:p w:rsidR="00321A17" w:rsidRPr="00FC097F" w:rsidRDefault="00436D17" w:rsidP="00FC097F">
      <w:pPr>
        <w:jc w:val="both"/>
        <w:rPr>
          <w:rFonts w:asciiTheme="majorBidi" w:hAnsiTheme="majorBidi" w:cstheme="majorBidi"/>
          <w:rtl/>
        </w:rPr>
      </w:pPr>
      <w:r w:rsidRPr="00FC097F">
        <w:rPr>
          <w:rFonts w:asciiTheme="majorBidi" w:hAnsiTheme="majorBidi" w:cstheme="majorBidi"/>
          <w:rtl/>
        </w:rPr>
        <w:t>והנה השו"ע פסק כדברי הרשב"א והרמ"א לא חלק</w:t>
      </w:r>
      <w:r w:rsidR="00FC097F" w:rsidRPr="00FC097F">
        <w:rPr>
          <w:rFonts w:asciiTheme="majorBidi" w:hAnsiTheme="majorBidi" w:cstheme="majorBidi"/>
          <w:rtl/>
        </w:rPr>
        <w:t>. אך עי' ש"ך וט"ז בשם מהרש"ל ותו"ח שנקטינן להחמיר שאף כאשר לא הפריש בידיים, כל שבמקומו אין האיסור ניכר, גזרינן שמא ייקח מהקבוע.  ועי' לבושי עז שהעיר שאם כן בטלה תורת הליכה אחר הרוב בהרבה מהמקרים, והקשה שם מכמה מקרים המבוארים בפוסקים שהלכו אחר הרוב אף במקרים שאין האיסור ניכר במקומו, וצ"ע אמאי לא חשו לגזירה שמא יקח מהקבוע.</w:t>
      </w:r>
    </w:p>
    <w:p w:rsidR="00FC097F" w:rsidRPr="00FC097F" w:rsidRDefault="00FC097F" w:rsidP="00FC097F">
      <w:pPr>
        <w:jc w:val="both"/>
        <w:rPr>
          <w:rFonts w:asciiTheme="majorBidi" w:hAnsiTheme="majorBidi" w:cstheme="majorBidi"/>
          <w:b/>
          <w:bCs/>
          <w:rtl/>
        </w:rPr>
      </w:pPr>
      <w:r w:rsidRPr="00FC097F">
        <w:rPr>
          <w:rFonts w:asciiTheme="majorBidi" w:hAnsiTheme="majorBidi" w:cstheme="majorBidi"/>
          <w:b/>
          <w:bCs/>
          <w:rtl/>
        </w:rPr>
        <w:t>קודם שנולד הספק</w:t>
      </w:r>
    </w:p>
    <w:p w:rsidR="00FC097F" w:rsidRPr="00D14A1B" w:rsidRDefault="00FC097F" w:rsidP="00FC097F">
      <w:pPr>
        <w:jc w:val="both"/>
        <w:rPr>
          <w:rFonts w:asciiTheme="majorBidi" w:hAnsiTheme="majorBidi" w:cstheme="majorBidi"/>
          <w:b/>
          <w:bCs/>
          <w:rtl/>
        </w:rPr>
      </w:pPr>
      <w:r w:rsidRPr="00FC097F">
        <w:rPr>
          <w:rFonts w:asciiTheme="majorBidi" w:hAnsiTheme="majorBidi" w:cstheme="majorBidi"/>
          <w:rtl/>
        </w:rPr>
        <w:t xml:space="preserve">עי' ב"י בשם הרשב"א שנקט בדעת הר"י שאף בלקיחה קודם שנולד הספק שייכת הגזירה. אך הב"י הביא שברא"ש מבואר להדיא לא כך. וכן נקטינן, שאף שקיי"ל שגוזרים בכל מקרה שאין האיסור ניכר במקומו, אם לקח קודם שנולד הספק לא גזרינן, כמבואר זה </w:t>
      </w:r>
      <w:r w:rsidR="00D14A1B">
        <w:rPr>
          <w:rFonts w:asciiTheme="majorBidi" w:hAnsiTheme="majorBidi" w:cstheme="majorBidi" w:hint="cs"/>
          <w:rtl/>
        </w:rPr>
        <w:t>ב</w:t>
      </w:r>
      <w:r w:rsidR="00D14A1B">
        <w:rPr>
          <w:rFonts w:asciiTheme="majorBidi" w:hAnsiTheme="majorBidi" w:cstheme="majorBidi" w:hint="cs"/>
          <w:b/>
          <w:bCs/>
          <w:rtl/>
        </w:rPr>
        <w:t>ש"ך סקל"ג.</w:t>
      </w:r>
    </w:p>
    <w:p w:rsidR="006C7F69" w:rsidRPr="006C7F69" w:rsidRDefault="00D14A1B" w:rsidP="00FC097F">
      <w:pPr>
        <w:jc w:val="both"/>
        <w:rPr>
          <w:sz w:val="36"/>
          <w:szCs w:val="36"/>
        </w:rPr>
      </w:pPr>
      <w:r>
        <w:rPr>
          <w:rFonts w:hint="cs"/>
          <w:sz w:val="36"/>
          <w:szCs w:val="36"/>
          <w:rtl/>
        </w:rPr>
        <w:t xml:space="preserve"> </w:t>
      </w:r>
    </w:p>
    <w:sectPr w:rsidR="006C7F69" w:rsidRPr="006C7F69" w:rsidSect="00D14A1B">
      <w:type w:val="continuous"/>
      <w:pgSz w:w="11906" w:h="16838"/>
      <w:pgMar w:top="144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14B"/>
    <w:rsid w:val="002244F6"/>
    <w:rsid w:val="002426DF"/>
    <w:rsid w:val="0024414B"/>
    <w:rsid w:val="00321A17"/>
    <w:rsid w:val="00436D17"/>
    <w:rsid w:val="004945F1"/>
    <w:rsid w:val="004D05DA"/>
    <w:rsid w:val="004F6E0A"/>
    <w:rsid w:val="005326F2"/>
    <w:rsid w:val="006C7F69"/>
    <w:rsid w:val="00747C77"/>
    <w:rsid w:val="00766028"/>
    <w:rsid w:val="008D39E8"/>
    <w:rsid w:val="009743F8"/>
    <w:rsid w:val="00AA362F"/>
    <w:rsid w:val="00C207D4"/>
    <w:rsid w:val="00C53DFD"/>
    <w:rsid w:val="00C568CB"/>
    <w:rsid w:val="00C627DB"/>
    <w:rsid w:val="00C95D70"/>
    <w:rsid w:val="00CB229E"/>
    <w:rsid w:val="00CB272A"/>
    <w:rsid w:val="00D14A1B"/>
    <w:rsid w:val="00FC09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7C5A"/>
  <w15:chartTrackingRefBased/>
  <w15:docId w15:val="{0CCE47F1-1387-4953-8072-7D71D54E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45F1"/>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4945F1"/>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2</Pages>
  <Words>887</Words>
  <Characters>4438</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cp:revision>
  <cp:lastPrinted>2021-11-21T09:13:00Z</cp:lastPrinted>
  <dcterms:created xsi:type="dcterms:W3CDTF">2021-11-20T14:31:00Z</dcterms:created>
  <dcterms:modified xsi:type="dcterms:W3CDTF">2023-02-27T06:40:00Z</dcterms:modified>
</cp:coreProperties>
</file>