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pPr>
      <w:r>
        <w:pict>
          <v:shape type="#_x0000_t75" style="width:140pt; height:70pt; margin-left:0pt; margin-top:0pt; mso-position-horizontal:left; mso-position-vertical:top; mso-position-horizontal-relative:char; mso-position-vertical-relative:line; z-index:2147483647;">
            <v:imagedata r:id="rId7" o:title=""/>
          </v:shape>
        </w:pict>
      </w:r>
    </w:p>
    <w:p>
      <w:pPr>
        <w:jc w:val="center"/>
      </w:pPr>
      <w:r>
        <w:rPr>
          <w:rFonts w:ascii="Times New Roman" w:hAnsi="Times New Roman" w:eastAsia="Times New Roman" w:cs="Times New Roman"/>
          <w:sz w:val="22"/>
          <w:szCs w:val="22"/>
          <w:b w:val="1"/>
          <w:bCs w:val="1"/>
        </w:rPr>
        <w:t xml:space="preserve">DE LA SALLE UNIVERSITY - DASMARINAS</w:t>
      </w:r>
    </w:p>
    <w:p>
      <w:pPr>
        <w:jc w:val="center"/>
      </w:pPr>
      <w:r>
        <w:rPr>
          <w:rFonts w:ascii="Times New Roman" w:hAnsi="Times New Roman" w:eastAsia="Times New Roman" w:cs="Times New Roman"/>
          <w:sz w:val="22"/>
          <w:szCs w:val="22"/>
          <w:b w:val="1"/>
          <w:bCs w:val="1"/>
        </w:rPr>
        <w:t xml:space="preserve">COLLEGE OF SCIENCE AND COMPUTER STUDIES</w:t>
      </w:r>
    </w:p>
    <w:p>
      <w:pPr>
        <w:jc w:val="center"/>
      </w:pPr>
      <w:r>
        <w:rPr>
          <w:rFonts w:ascii="Times New Roman" w:hAnsi="Times New Roman" w:eastAsia="Times New Roman" w:cs="Times New Roman"/>
          <w:sz w:val="22"/>
          <w:szCs w:val="22"/>
          <w:b w:val="1"/>
          <w:bCs w:val="1"/>
        </w:rPr>
        <w:t xml:space="preserve">INFORMATION TECHNOLOGY DEPARTMENT</w:t>
      </w:r>
    </w:p>
    <w:p/>
    <w:p>
      <w:pPr>
        <w:jc w:val="center"/>
      </w:pPr>
      <w:r>
        <w:rPr>
          <w:rFonts w:ascii="Times New Roman" w:hAnsi="Times New Roman" w:eastAsia="Times New Roman" w:cs="Times New Roman"/>
          <w:sz w:val="22"/>
          <w:szCs w:val="22"/>
          <w:b w:val="1"/>
          <w:bCs w:val="1"/>
        </w:rPr>
        <w:t xml:space="preserve">COURSE SYLLABUS</w:t>
      </w:r>
    </w:p>
    <w:p/>
    <w:p>
      <w:pPr/>
      <w:r>
        <w:rPr>
          <w:rFonts w:ascii="Times New Roman" w:hAnsi="Times New Roman" w:eastAsia="Times New Roman" w:cs="Times New Roman"/>
          <w:sz w:val="22"/>
          <w:szCs w:val="22"/>
        </w:rPr>
        <w:t xml:space="preserve">COURSE CODE                  :            S-ITPC 121</w:t>
      </w:r>
    </w:p>
    <w:p>
      <w:pPr/>
      <w:r>
        <w:rPr>
          <w:rFonts w:ascii="Times New Roman" w:hAnsi="Times New Roman" w:eastAsia="Times New Roman" w:cs="Times New Roman"/>
          <w:sz w:val="22"/>
          <w:szCs w:val="22"/>
        </w:rPr>
        <w:t xml:space="preserve">COURSE TITLE                  :            FUNDAMENTALS OF DATABASE SYSTEMS</w:t>
      </w:r>
    </w:p>
    <w:p>
      <w:pPr/>
      <w:r>
        <w:rPr>
          <w:rFonts w:ascii="Times New Roman" w:hAnsi="Times New Roman" w:eastAsia="Times New Roman" w:cs="Times New Roman"/>
          <w:sz w:val="22"/>
          <w:szCs w:val="22"/>
        </w:rPr>
        <w:t xml:space="preserve">COURSE TYPE                   :            LABORATORY</w:t>
      </w:r>
    </w:p>
    <w:p>
      <w:pPr/>
      <w:r>
        <w:rPr>
          <w:rFonts w:ascii="Times New Roman" w:hAnsi="Times New Roman" w:eastAsia="Times New Roman" w:cs="Times New Roman"/>
          <w:sz w:val="22"/>
          <w:szCs w:val="22"/>
        </w:rPr>
        <w:t xml:space="preserve">COURSE CREDIT               :            3 UNITS</w:t>
      </w:r>
    </w:p>
    <w:p>
      <w:pPr/>
      <w:r>
        <w:rPr>
          <w:rFonts w:ascii="Times New Roman" w:hAnsi="Times New Roman" w:eastAsia="Times New Roman" w:cs="Times New Roman"/>
          <w:sz w:val="22"/>
          <w:szCs w:val="22"/>
        </w:rPr>
        <w:t xml:space="preserve">LEARNING MODALITY   :            FULLY ONSITE</w:t>
      </w:r>
    </w:p>
    <w:p>
      <w:pPr/>
      <w:r>
        <w:rPr>
          <w:rFonts w:ascii="Times New Roman" w:hAnsi="Times New Roman" w:eastAsia="Times New Roman" w:cs="Times New Roman"/>
          <w:sz w:val="22"/>
          <w:szCs w:val="22"/>
        </w:rPr>
        <w:t xml:space="preserve">PRE-REQUISITES              :            NONE</w:t>
      </w:r>
    </w:p>
    <w:p>
      <w:pPr/>
      <w:r>
        <w:rPr>
          <w:rFonts w:ascii="Times New Roman" w:hAnsi="Times New Roman" w:eastAsia="Times New Roman" w:cs="Times New Roman"/>
          <w:sz w:val="22"/>
          <w:szCs w:val="22"/>
        </w:rPr>
        <w:t xml:space="preserve">CO-REQUISITES                :            S-ITPC 121LA</w:t>
      </w:r>
    </w:p>
    <w:p>
      <w:pPr/>
      <w:r>
        <w:rPr>
          <w:rFonts w:ascii="Times New Roman" w:hAnsi="Times New Roman" w:eastAsia="Times New Roman" w:cs="Times New Roman"/>
          <w:sz w:val="22"/>
          <w:szCs w:val="22"/>
        </w:rPr>
        <w:t xml:space="preserve">PROFESSOR                       :            MS. AZENITH R. MOJICA</w:t>
      </w:r>
    </w:p>
    <w:p>
      <w:pPr/>
      <w:r>
        <w:rPr>
          <w:rFonts w:ascii="Times New Roman" w:hAnsi="Times New Roman" w:eastAsia="Times New Roman" w:cs="Times New Roman"/>
          <w:sz w:val="22"/>
          <w:szCs w:val="22"/>
        </w:rPr>
        <w:t xml:space="preserve">                                             :            MONDAY AND TUESDAY 2:00-5:00</w:t>
      </w:r>
    </w:p>
    <w:p>
      <w:pPr/>
      <w:r>
        <w:rPr>
          <w:rFonts w:ascii="Times New Roman" w:hAnsi="Times New Roman" w:eastAsia="Times New Roman" w:cs="Times New Roman"/>
          <w:sz w:val="22"/>
          <w:szCs w:val="22"/>
        </w:rPr>
        <w:t xml:space="preserve">                                             :            COS 100-C</w:t>
      </w:r>
    </w:p>
    <w:p>
      <w:pPr/>
      <w:r>
        <w:rPr>
          <w:rFonts w:ascii="Times New Roman" w:hAnsi="Times New Roman" w:eastAsia="Times New Roman" w:cs="Times New Roman"/>
          <w:sz w:val="22"/>
          <w:szCs w:val="22"/>
        </w:rPr>
        <w:t xml:space="preserve">                                             :            ARMOJICA@DLSUD.EDU.PH</w:t>
      </w:r>
    </w:p>
    <w:p>
      <w:pPr/>
      <w:r>
        <w:rPr>
          <w:rFonts w:ascii="Times New Roman" w:hAnsi="Times New Roman" w:eastAsia="Times New Roman" w:cs="Times New Roman"/>
          <w:sz w:val="22"/>
          <w:szCs w:val="22"/>
        </w:rPr>
        <w:t xml:space="preserve">                                             :            (046) 4811900 LOCAL 3134</w:t>
      </w:r>
    </w:p>
    <w:p>
      <w:pPr>
        <w:jc w:val="left"/>
      </w:pPr>
      <w:r>
        <w:rPr>
          <w:rFonts w:ascii="Times New Roman" w:hAnsi="Times New Roman" w:eastAsia="Times New Roman" w:cs="Times New Roman"/>
          <w:sz w:val="22"/>
          <w:szCs w:val="22"/>
          <w:b w:val="1"/>
          <w:bCs w:val="1"/>
        </w:rPr>
        <w:t xml:space="preserve">COURSE DESCRIPTION:</w:t>
      </w:r>
    </w:p>
    <w:p>
      <w:pPr/>
      <w:r>
        <w:rPr>
          <w:rFonts w:ascii="Times New Roman" w:hAnsi="Times New Roman" w:eastAsia="Times New Roman" w:cs="Times New Roman"/>
          <w:sz w:val="22"/>
          <w:szCs w:val="22"/>
        </w:rPr>
        <w:t xml:space="preserve">    This course prepares the students to acquire the skills on creating, analyzing, and designing databases. This will help increase their understanding of the essentials of database modelling and design, the languages and facilities provided by the database management systems and system implementation techniques.  </w:t>
      </w:r>
    </w:p>
    <w:p>
      <w:pPr>
        <w:jc w:val="left"/>
      </w:pPr>
      <w:r>
        <w:rPr>
          <w:rFonts w:ascii="Times New Roman" w:hAnsi="Times New Roman" w:eastAsia="Times New Roman" w:cs="Times New Roman"/>
          <w:sz w:val="22"/>
          <w:szCs w:val="22"/>
          <w:b w:val="1"/>
          <w:bCs w:val="1"/>
        </w:rPr>
        <w:t xml:space="preserve">COURSE LEARNING OUTCOMES:</w:t>
      </w:r>
    </w:p>
    <w:p>
      <w:pPr/>
      <w:r>
        <w:rPr>
          <w:rFonts w:ascii="Times New Roman" w:hAnsi="Times New Roman" w:eastAsia="Times New Roman" w:cs="Times New Roman"/>
          <w:sz w:val="22"/>
          <w:szCs w:val="22"/>
        </w:rPr>
        <w:t xml:space="preserve">CLO1 . Understand data models, schemas, instances, and their applications in the real world</w:t>
      </w:r>
    </w:p>
    <w:p>
      <w:pPr/>
      <w:r>
        <w:rPr>
          <w:rFonts w:ascii="Times New Roman" w:hAnsi="Times New Roman" w:eastAsia="Times New Roman" w:cs="Times New Roman"/>
          <w:sz w:val="22"/>
          <w:szCs w:val="22"/>
        </w:rPr>
        <w:t xml:space="preserve">CLO2 . Design effective database schemas using Entity Relationship Diagram (ERD). </w:t>
      </w:r>
    </w:p>
    <w:p>
      <w:pPr/>
      <w:r>
        <w:rPr>
          <w:rFonts w:ascii="Times New Roman" w:hAnsi="Times New Roman" w:eastAsia="Times New Roman" w:cs="Times New Roman"/>
          <w:sz w:val="22"/>
          <w:szCs w:val="22"/>
        </w:rPr>
        <w:t xml:space="preserve">CLO3 . Convert conceptual model into relational schema.</w:t>
      </w:r>
    </w:p>
    <w:p>
      <w:pPr/>
      <w:r>
        <w:rPr>
          <w:rFonts w:ascii="Times New Roman" w:hAnsi="Times New Roman" w:eastAsia="Times New Roman" w:cs="Times New Roman"/>
          <w:sz w:val="22"/>
          <w:szCs w:val="22"/>
        </w:rPr>
        <w:t xml:space="preserve">CLO4 . Perform effective data management procedures. </w:t>
      </w:r>
    </w:p>
    <w:p>
      <w:pPr/>
      <w:r>
        <w:rPr>
          <w:rFonts w:ascii="Times New Roman" w:hAnsi="Times New Roman" w:eastAsia="Times New Roman" w:cs="Times New Roman"/>
          <w:sz w:val="22"/>
          <w:szCs w:val="22"/>
        </w:rPr>
        <w:t xml:space="preserve">CLO5 . Perform effective logical database design.</w:t>
      </w:r>
    </w:p>
    <w:p>
      <w:pPr/>
      <w:r>
        <w:rPr>
          <w:rFonts w:ascii="Times New Roman" w:hAnsi="Times New Roman" w:eastAsia="Times New Roman" w:cs="Times New Roman"/>
          <w:sz w:val="22"/>
          <w:szCs w:val="22"/>
        </w:rPr>
        <w:t xml:space="preserve">CLO6 . Demonstrate 21st century skills in all learning activities.</w:t>
      </w:r>
    </w:p>
    <w:p>
      <w:pPr>
        <w:jc w:val="left"/>
      </w:pPr>
      <w:r>
        <w:rPr>
          <w:rFonts w:ascii="Times New Roman" w:hAnsi="Times New Roman" w:eastAsia="Times New Roman" w:cs="Times New Roman"/>
          <w:sz w:val="22"/>
          <w:szCs w:val="22"/>
          <w:b w:val="1"/>
          <w:bCs w:val="1"/>
        </w:rPr>
        <w:t xml:space="preserve">LEARNING PLAN</w:t>
      </w:r>
    </w:p>
    <w:p>
      <w:pPr>
        <w:jc w:val="left"/>
      </w:pPr>
      <w:r>
        <w:rPr>
          <w:rFonts w:ascii="Times New Roman" w:hAnsi="Times New Roman" w:eastAsia="Times New Roman" w:cs="Times New Roman"/>
          <w:sz w:val="18"/>
          <w:szCs w:val="18"/>
          <w:b w:val="1"/>
          <w:bCs w:val="1"/>
        </w:rPr>
        <w:t xml:space="preserve">Learning Outcomes for Midterm Period</w:t>
      </w:r>
    </w:p>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CLO1.Understand data models, schemas, instances, and their applications in the real world</w:t>
            </w:r>
          </w:p>
        </w:tc>
        <w:tc>
          <w:tcPr>
            <w:tcW w:w="3000" w:type="dxa"/>
          </w:tcPr>
          <w:p>
            <w:pPr/>
            <w:r>
              <w:rPr/>
              <w:t xml:space="preserve">
                TLO1. Effectively explains the basic concepts of databases and data models. 
                <w:br/>
                <w:br/>
                <w:br/>
                TLO2.Explains the features of database management systems, architecture of database systems, and the role of database users. 
              </w:t>
            </w:r>
          </w:p>
        </w:tc>
      </w:tr>
      <w:tr>
        <w:trPr/>
        <w:tc>
          <w:tcPr>
            <w:tcW w:w="3000" w:type="dxa"/>
          </w:tcPr>
          <w:p>
            <w:pPr/>
            <w:r>
              <w:rPr/>
              <w:t xml:space="preserve">CLO2.Design effective database schemas using Entity Relationship Diagram (ERD). </w:t>
            </w:r>
          </w:p>
        </w:tc>
        <w:tc>
          <w:tcPr>
            <w:tcW w:w="3000" w:type="dxa"/>
          </w:tcPr>
          <w:p>
            <w:pPr/>
            <w:r>
              <w:rPr/>
              <w:t xml:space="preserve">
                TLO4. State reasons why many system developers believe that data modeling is the most important part of the systems development process
                <w:br/>
                <w:br/>
                TLO5. Write good names and definitions for entities, relationships, and attributes. 
                <w:br/>
                <w:br/>
                TLO6. Draw an E-R diagram to represent common business situations. 
                <w:br/>
                <w:br/>
                TLO7. Recognize when to use supertype/subtype relationships in data modeling. 
                <w:br/>
                <w:br/>
                TLO8. Develop a supertype/subtype hierarchy for a realistic business situation. 
                <w:br/>
                <w:br/>
                TLO9. Develop an entity cluster to simplify presentation of an E-R diagram. 
              </w:t>
            </w:r>
          </w:p>
        </w:tc>
      </w:tr>
      <w:tr>
        <w:trPr/>
        <w:tc>
          <w:tcPr>
            <w:tcW w:w="3000" w:type="dxa"/>
          </w:tcPr>
          <w:p>
            <w:pPr/>
            <w:r>
              <w:rPr/>
              <w:t xml:space="preserve">CLO3.Convert conceptual model into relational schema.</w:t>
            </w:r>
          </w:p>
        </w:tc>
        <w:tc>
          <w:tcPr>
            <w:tcW w:w="3000" w:type="dxa"/>
          </w:tcPr>
          <w:p>
            <w:pPr/>
            <w:r>
              <w:rPr/>
              <w:t xml:space="preserve"/>
            </w:r>
          </w:p>
        </w:tc>
      </w:tr>
      <w:tr>
        <w:trPr/>
        <w:tc>
          <w:tcPr>
            <w:tcW w:w="3000" w:type="dxa"/>
          </w:tcPr>
          <w:p>
            <w:pPr/>
            <w:r>
              <w:rPr/>
              <w:t xml:space="preserve">CLO4.Perform effective data management procedures. </w:t>
            </w:r>
          </w:p>
        </w:tc>
        <w:tc>
          <w:tcPr>
            <w:tcW w:w="3000" w:type="dxa"/>
          </w:tcPr>
          <w:p>
            <w:pPr/>
            <w:r>
              <w:rPr/>
              <w:t xml:space="preserve"/>
            </w:r>
          </w:p>
        </w:tc>
      </w:tr>
      <w:tr>
        <w:trPr/>
        <w:tc>
          <w:tcPr>
            <w:tcW w:w="3000" w:type="dxa"/>
          </w:tcPr>
          <w:p>
            <w:pPr/>
            <w:r>
              <w:rPr/>
              <w:t xml:space="preserve">CLO5.Perform effective logical database design.</w:t>
            </w:r>
          </w:p>
        </w:tc>
        <w:tc>
          <w:tcPr>
            <w:tcW w:w="3000" w:type="dxa"/>
          </w:tcPr>
          <w:p>
            <w:pPr/>
            <w:r>
              <w:rPr/>
              <w:t xml:space="preserve"/>
            </w:r>
          </w:p>
        </w:tc>
      </w:tr>
      <w:tr>
        <w:trPr/>
        <w:tc>
          <w:tcPr>
            <w:tcW w:w="3000" w:type="dxa"/>
          </w:tcPr>
          <w:p>
            <w:pPr/>
            <w:r>
              <w:rPr/>
              <w:t xml:space="preserve">CLO6.Demonstrate 21st century skills in all learning activities.</w:t>
            </w:r>
          </w:p>
        </w:tc>
        <w:tc>
          <w:tcPr>
            <w:tcW w:w="3000" w:type="dxa"/>
          </w:tcPr>
          <w:p>
            <w:pPr/>
            <w:r>
              <w:rPr/>
              <w:t xml:space="preserve"/>
            </w:r>
          </w:p>
        </w:tc>
      </w:tr>
    </w:tbl>
    <w:tbl>
      <w:tblGrid>
        <w:gridCol w:w="2000" w:type="dxa"/>
        <w:gridCol w:w="2000" w:type="dxa"/>
      </w:tblGrid>
      <w:tblPr>
        <w:tblStyle w:val="Fancy Table"/>
        <w:tblW w:w="5000" w:type="pct"/>
      </w:tblPr>
      <w:tr>
        <w:trPr>
          <w:trHeight w:val="900" w:hRule="atLeast"/>
        </w:trPr>
        <w:tc>
          <w:tcPr>
            <w:tcW w:w="2000" w:type="dxa"/>
            <w:vAlign w:val="center"/>
          </w:tcPr>
          <w:p>
            <w:pPr/>
            <w:r>
              <w:rPr>
                <w:b w:val="1"/>
                <w:bCs w:val="1"/>
              </w:rPr>
              <w:t xml:space="preserve">Course Learning Outcomes</w:t>
            </w:r>
          </w:p>
        </w:tc>
        <w:tc>
          <w:tcPr>
            <w:tcW w:w="2000" w:type="dxa"/>
            <w:vAlign w:val="center"/>
          </w:tcPr>
          <w:p>
            <w:pPr/>
            <w:r>
              <w:rPr>
                <w:b w:val="1"/>
                <w:bCs w:val="1"/>
              </w:rPr>
              <w:t xml:space="preserve">Topic Learning Outcomes</w:t>
            </w:r>
          </w:p>
        </w:tc>
      </w:tr>
      <w:tr>
        <w:trPr/>
        <w:tc>
          <w:tcPr>
            <w:tcW w:w="3000" w:type="dxa"/>
          </w:tcPr>
          <w:p>
            <w:pPr/>
            <w:r>
              <w:rPr/>
              <w:t xml:space="preserve"/>
            </w:r>
          </w:p>
        </w:tc>
        <w:tc>
          <w:tcPr>
            <w:tcW w:w="3000" w:type="dxa"/>
          </w:tcPr>
          <w:p>
            <w:pPr/>
            <w:r>
              <w:rPr/>
              <w:t xml:space="preserve">Week 11  Apr 24-29</w:t>
            </w:r>
          </w:p>
        </w:tc>
      </w:tr>
      <w:tr>
        <w:trPr/>
        <w:tc>
          <w:tcPr>
            <w:tcW w:w="3000" w:type="dxa"/>
          </w:tcPr>
          <w:p>
            <w:pPr/>
            <w:r>
              <w:rPr/>
              <w:t xml:space="preserve">Self-care Week</w:t>
            </w:r>
          </w:p>
        </w:tc>
        <w:tc>
          <w:tcPr>
            <w:tcW w:w="3000" w:type="dxa"/>
          </w:tcPr>
          <w:p>
            <w:pPr/>
            <w:r>
              <w:rPr/>
              <w:t xml:space="preserve"/>
            </w:r>
          </w:p>
        </w:tc>
      </w:tr>
    </w:tbl>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0000"/>
        <w:left w:val="single" w:sz="6" w:color="#000000"/>
        <w:right w:val="single" w:sz="6" w:color="#000000"/>
        <w:bottom w:val="single" w:sz="6" w:color="#000000"/>
        <w:insideH w:val="single" w:sz="6" w:color="#000000"/>
        <w:insideV w:val="single" w:sz="6" w:color="#000000"/>
      </w:tblBorders>
    </w:tblPr>
    <w:tblStylePr w:type="firstRow">
      <w:tcPr>
        <w:tblBorders>
          <w:bottom w:val="single" w:sz="1"/>
        </w:tbl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image" Target="media/section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2024-04-17T04:17:28+02:00</dcterms:created>
  <dcterms:modified xsi:type="dcterms:W3CDTF">2024-04-17T04:17:28+02:00</dcterms:modified>
</cp:coreProperties>
</file>

<file path=docProps/custom.xml><?xml version="1.0" encoding="utf-8"?>
<Properties xmlns="http://schemas.openxmlformats.org/officeDocument/2006/custom-properties" xmlns:vt="http://schemas.openxmlformats.org/officeDocument/2006/docPropsVTypes"/>
</file>