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w:br/>
                TLO2.Explains the features of database management systems, architecture of database systems, and the role of database users.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r>
      <w:tr>
        <w:trPr/>
        <w:tc>
          <w:tcPr>
            <w:tcW w:w="3000" w:type="dxa"/>
          </w:tcPr>
          <w:p>
            <w:pPr/>
            <w:r>
              <w:rPr/>
              <w:t xml:space="preserve">
                <p>Module 0</p>
              </w:t>
            </w:r>
          </w:p>
        </w:tc>
      </w:tr>
      <w:tr>
        <w:trPr/>
        <w:tc>
          <w:tcPr>
            <w:tcW w:w="3000" w:type="dxa"/>
          </w:tcPr>
          <w:p>
            <w:pPr/>
            <w:r>
              <w:rPr/>
              <w:t xml:space="preserve">Week 1.Feb 13-18</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2024-04-17T05:19:21+02:00</dcterms:created>
  <dcterms:modified xsi:type="dcterms:W3CDTF">2024-04-17T05:19:21+02:00</dcterms:modified>
</cp:coreProperties>
</file>

<file path=docProps/custom.xml><?xml version="1.0" encoding="utf-8"?>
<Properties xmlns="http://schemas.openxmlformats.org/officeDocument/2006/custom-properties" xmlns:vt="http://schemas.openxmlformats.org/officeDocument/2006/docPropsVTypes"/>
</file>