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TLO10. List properties of relations 
                <w:br/>
                TLO11. Transform an E-R (or EER) diagram into a logically equivalent set of relations. 
                <w:br/>
                TLO12. Create relational tables that incorporate entity integrity and referential integrity constraints. 
                <w:br/>
              </w:t>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12.Feb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w:t>
            </w:r>
          </w:p>
        </w:tc>
        <w:tc>
          <w:tcPr>
            <w:tcW w:w="3000" w:type="dxa"/>
          </w:tcPr>
          <w:p>
            <w:pPr/>
            <w:r>
              <w:rPr/>
              <w:t xml:space="preserve"/>
            </w:r>
          </w:p>
        </w:tc>
        <w:tc>
          <w:tcPr>
            <w:tcW w:w="3000" w:type="dxa"/>
          </w:tcPr>
          <w:p>
            <w:pPr/>
            <w:r>
              <w:rPr/>
              <w:t xml:space="preserve">/</w:t>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0</w:t>
            </w:r>
          </w:p>
        </w:tc>
        <w:tc>
          <w:tcPr>
            <w:tcW w:w="3000" w:type="dxa"/>
          </w:tcPr>
          <w:p>
            <w:pPr/>
            <w:r>
              <w:rPr/>
              <w:t xml:space="preserve">1</w:t>
            </w:r>
          </w:p>
        </w:tc>
        <w:tc>
          <w:tcPr>
            <w:tcW w:w="3000" w:type="dxa"/>
          </w:tcPr>
          <w:p>
            <w:pPr/>
            <w:r>
              <w:rPr/>
              <w:t xml:space="preserve">2</w:t>
            </w:r>
          </w:p>
        </w:tc>
      </w:tr>
    </w:tbl>
    <w:p/>
    <w:tbl>
      <w:tblGrid>
        <w:gridCol w:w="3000" w:type="dxa"/>
        <w:gridCol w:w="3000" w:type="dxa"/>
      </w:tblGrid>
      <w:tblPr>
        <w:tblStyle w:val="Fancy Table"/>
        <w:tblW w:w="3000" w:type="pct"/>
      </w:tblPr>
      <w:tr>
        <w:trPr>
          <w:trHeight w:val="900" w:hRule="atLeast"/>
        </w:trPr>
        <w:tc>
          <w:tcPr>
            <w:tcW w:w="2000" w:type="dxa"/>
            <w:vAlign w:val="center"/>
          </w:tcPr>
          <w:p>
            <w:pPr/>
            <w:r>
              <w:rPr>
                <w:b w:val="1"/>
                <w:bCs w:val="1"/>
              </w:rPr>
              <w:t xml:space="preserve">GRADING SYSTEM</w:t>
            </w:r>
          </w:p>
        </w:tc>
      </w:tr>
      <w:tr>
        <w:trPr/>
        <w:tc>
          <w:tcPr>
            <w:tcW w:w="3000" w:type="dxa"/>
            <w:vAlign w:val="center"/>
          </w:tcPr>
          <w:p>
            <w:pPr/>
            <w:r>
              <w:rPr/>
              <w:t xml:space="preserve">Class Participation</w:t>
            </w:r>
          </w:p>
        </w:tc>
        <w:tc>
          <w:tcPr>
            <w:tcW w:w="3000" w:type="dxa"/>
            <w:vAlign w:val="center"/>
          </w:tcPr>
          <w:p>
            <w:pPr/>
            <w:r>
              <w:rPr/>
              <w:t xml:space="preserve">20%</w:t>
            </w:r>
          </w:p>
        </w:tc>
      </w:tr>
      <w:tr>
        <w:trPr/>
        <w:tc>
          <w:tcPr>
            <w:tcW w:w="3000" w:type="dxa"/>
            <w:vAlign w:val="center"/>
          </w:tcPr>
          <w:p>
            <w:pPr/>
            <w:r>
              <w:rPr/>
              <w:t xml:space="preserve">Enabling Assessment</w:t>
            </w:r>
          </w:p>
        </w:tc>
        <w:tc>
          <w:tcPr>
            <w:tcW w:w="3000" w:type="dxa"/>
            <w:vAlign w:val="center"/>
          </w:tcPr>
          <w:p>
            <w:pPr/>
            <w:r>
              <w:rPr/>
              <w:t xml:space="preserve">50%</w:t>
            </w:r>
          </w:p>
        </w:tc>
      </w:tr>
      <w:tr>
        <w:trPr/>
        <w:tc>
          <w:tcPr>
            <w:tcW w:w="3000" w:type="dxa"/>
            <w:vAlign w:val="center"/>
          </w:tcPr>
          <w:p>
            <w:pPr/>
            <w:r>
              <w:rPr/>
              <w:t xml:space="preserve">Summative Assessment</w:t>
            </w:r>
          </w:p>
        </w:tc>
        <w:tc>
          <w:tcPr>
            <w:tcW w:w="3000" w:type="dxa"/>
            <w:vAlign w:val="center"/>
          </w:tcPr>
          <w:p>
            <w:pPr/>
            <w:r>
              <w:rPr/>
              <w:t xml:space="preserve">30%</w:t>
            </w:r>
          </w:p>
        </w:tc>
      </w:tr>
      <w:tr>
        <w:trPr/>
        <w:tc>
          <w:tcPr>
            <w:tcW w:w="21000" w:type="dxa"/>
            <w:vAlign w:val="center"/>
          </w:tcPr>
          <w:p>
            <w:pPr/>
            <w:r>
              <w:rPr/>
              <w:t xml:space="preserve">TOTAL</w:t>
            </w:r>
          </w:p>
        </w:tc>
        <w:tc>
          <w:tcPr>
            <w:tcW w:w="3000" w:type="dxa"/>
            <w:vAlign w:val="center"/>
          </w:tcPr>
          <w:p>
            <w:pPr/>
            <w:r>
              <w:rPr/>
              <w:t xml:space="preserve">100</w:t>
            </w:r>
          </w:p>
        </w:tc>
      </w:tr>
    </w:tbl>
    <w:p/>
    <w:p>
      <w:pPr>
        <w:jc w:val="left"/>
      </w:pPr>
      <w:r>
        <w:rPr>
          <w:rFonts w:ascii="Times New Roman" w:hAnsi="Times New Roman" w:eastAsia="Times New Roman" w:cs="Times New Roman"/>
          <w:sz w:val="18"/>
          <w:szCs w:val="18"/>
          <w:b w:val="1"/>
          <w:bCs w:val="1"/>
        </w:rPr>
        <w:t xml:space="preserve">Overall Final Grade = Midterm + Final 
2 
</w:t>
      </w:r>
    </w:p>
    <w:p/>
    <w:p>
      <w:pPr>
        <w:jc w:val="left"/>
      </w:pPr>
      <w:r>
        <w:rPr>
          <w:rFonts w:ascii="Times New Roman" w:hAnsi="Times New Roman" w:eastAsia="Times New Roman" w:cs="Times New Roman"/>
          <w:sz w:val="22"/>
          <w:szCs w:val="22"/>
          <w:b w:val="1"/>
          <w:bCs w:val="1"/>
        </w:rPr>
        <w:t xml:space="preserve">COURSE POLICIES AND REQUIREMENTS</w:t>
      </w:r>
    </w:p>
    <w:p>
      <w:pPr>
        <w:jc w:val="left"/>
      </w:pPr>
      <w:r>
        <w:rPr>
          <w:rFonts w:ascii="Times New Roman" w:hAnsi="Times New Roman" w:eastAsia="Times New Roman" w:cs="Times New Roman"/>
          <w:sz w:val="20"/>
          <w:szCs w:val="20"/>
        </w:rPr>
        <w:t xml:space="preserve">1.  Office365 Activation.  Please ensure that your Office365 account is working. Your Office365 account is needed to access both Schoolbook and MS Teams where your asynchronous and synchronous classes will be held.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2024-04-17T09:59:36+02:00</dcterms:created>
  <dcterms:modified xsi:type="dcterms:W3CDTF">2024-04-17T09:59:36+02:00</dcterms:modified>
</cp:coreProperties>
</file>

<file path=docProps/custom.xml><?xml version="1.0" encoding="utf-8"?>
<Properties xmlns="http://schemas.openxmlformats.org/officeDocument/2006/custom-properties" xmlns:vt="http://schemas.openxmlformats.org/officeDocument/2006/docPropsVTypes"/>
</file>