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rFonts w:ascii="Times New Roman" w:hAnsi="Times New Roman"/>
          <w:b/>
          <w:sz w:val="44"/>
        </w:rPr>
        <w:t>PhishShieldAI: A Multi-View Explainable Machine Learning Framework for Intelligent Phishing Email Detection Using Natural Language Processing</w:t>
      </w:r>
    </w:p>
    <w:tbl>
      <w:tblPr>
        <w:tblW w:type="auto" w:w="0"/>
        <w:jc w:val="center"/>
        <w:tblLook w:firstColumn="1" w:firstRow="1" w:lastColumn="0" w:lastRow="0" w:noHBand="0" w:noVBand="1" w:val="04A0"/>
      </w:tblPr>
      <w:tblGrid>
        <w:gridCol w:w="5220"/>
        <w:gridCol w:w="5220"/>
      </w:tblGrid>
      <w:tr>
        <w:tc>
          <w:tcPr>
            <w:tcW w:type="dxa" w:w="5040"/>
          </w:tcPr>
          <w:p>
            <w:pPr>
              <w:spacing w:before="0" w:after="40"/>
              <w:jc w:val="center"/>
            </w:pPr>
            <w:r>
              <w:rPr>
                <w:b/>
                <w:sz w:val="22"/>
              </w:rPr>
              <w:t>Ashika</w:t>
              <w:br/>
            </w:r>
            <w:r>
              <w:rPr>
                <w:sz w:val="19"/>
              </w:rPr>
              <w:t>Dept. of Master of Computer Applications</w:t>
              <w:br/>
              <w:t>NMAM Institute of Technology (NMAMIT)</w:t>
              <w:br/>
              <w:t>Nitte (Deemed to be University)</w:t>
              <w:br/>
              <w:t>Nitte, Karkala, Karnataka, India</w:t>
              <w:br/>
              <w:t>ashikapoojary6624@gmail.com</w:t>
            </w:r>
          </w:p>
        </w:tc>
        <w:tc>
          <w:tcPr>
            <w:tcW w:type="dxa" w:w="5040"/>
          </w:tcPr>
          <w:p>
            <w:pPr>
              <w:spacing w:before="0" w:after="40"/>
              <w:jc w:val="center"/>
            </w:pPr>
            <w:r>
              <w:rPr>
                <w:b/>
                <w:sz w:val="22"/>
              </w:rPr>
              <w:t>Surendra Shetty*</w:t>
              <w:br/>
            </w:r>
            <w:r>
              <w:rPr>
                <w:sz w:val="19"/>
              </w:rPr>
              <w:t>Dept. of Master of Computer Applications</w:t>
              <w:br/>
              <w:t>NMAM Institute of Technology (NMAMIT)</w:t>
              <w:br/>
              <w:t>Nitte (Deemed to be University)</w:t>
              <w:br/>
              <w:t>Nitte, Karkala, Karnataka, India</w:t>
              <w:br/>
              <w:t>hsshetty@nitte.edu.in</w:t>
            </w:r>
          </w:p>
        </w:tc>
      </w:tr>
    </w:tbl>
    <w:p>
      <w:pPr>
        <w:spacing w:before="120" w:after="120"/>
      </w:pPr>
    </w:p>
    <w:p>
      <w:pPr>
        <w:sectPr>
          <w:pgSz w:w="12240" w:h="15840"/>
          <w:pgMar w:top="1080" w:right="900" w:bottom="1440" w:left="900" w:header="720" w:footer="720" w:gutter="0"/>
          <w:cols w:space="720"/>
          <w:docGrid w:linePitch="360"/>
        </w:sectPr>
      </w:pPr>
    </w:p>
    <w:p>
      <w:pPr>
        <w:spacing w:before="80" w:after="80" w:line="245" w:lineRule="auto"/>
        <w:jc w:val="both"/>
      </w:pPr>
      <w:r>
        <w:rPr>
          <w:b/>
          <w:sz w:val="18"/>
        </w:rPr>
        <w:t>Abstract—</w:t>
      </w:r>
      <w:r>
        <w:rPr>
          <w:b/>
          <w:sz w:val="18"/>
        </w:rPr>
        <w:t>PhishShieldAI couples NLP text preprocessing and Platt-calibrated Linear SVM to detect phishing messages with 98.48% accuracy and 94.04% F1-score, integrating Explainable AI token attribution and multi-view heuristic threat scanning at sub-5ms latency.</w:t>
      </w:r>
    </w:p>
    <w:p>
      <w:pPr>
        <w:spacing w:before="40" w:after="160" w:line="245" w:lineRule="auto"/>
        <w:jc w:val="both"/>
      </w:pPr>
      <w:r>
        <w:rPr>
          <w:b/>
          <w:i/>
          <w:sz w:val="18"/>
        </w:rPr>
        <w:t>Index Terms—</w:t>
      </w:r>
      <w:r>
        <w:rPr>
          <w:i/>
          <w:sz w:val="18"/>
        </w:rPr>
        <w:t>Phishing Detection, Linear Support Vector Machine, Natural Language Processing, TF-IDF, Explainable AI, Platt Calibration, Cyber Threat Intelligence.</w:t>
      </w:r>
    </w:p>
    <w:p>
      <w:pPr>
        <w:spacing w:before="200" w:after="80"/>
        <w:jc w:val="center"/>
      </w:pPr>
      <w:r>
        <w:rPr>
          <w:b/>
          <w:sz w:val="20"/>
        </w:rPr>
        <w:t>I.  INTRODUCTION</w:t>
      </w:r>
    </w:p>
    <w:p>
      <w:pPr>
        <w:spacing w:before="0" w:after="60" w:line="250" w:lineRule="auto"/>
        <w:jc w:val="both"/>
      </w:pPr>
      <w:r>
        <w:rPr>
          <w:sz w:val="19"/>
        </w:rPr>
        <w:t>Electronic mail remains the preeminent communication medium across corporate enterprises and private correspondence. Consequently, it represents the primary attack vector for deceptive social engineering maneuvers. Malicious actors continuously design sophisticated phishing campaigns imitating financial institutions, cloud service providers, and organizational leadership to deceive human recipients into disclosing authentication credentials, cryptographic tokens, or proprietary business assets. Unlike traditional binary exploits that target deterministic software vulnerabilities, phishing preys on cognitive biases, epistemic trust, and affective human reactions such as fear, manufactured urgency, and authority compliance.</w:t>
      </w:r>
    </w:p>
    <w:p>
      <w:pPr>
        <w:spacing w:before="0" w:after="60" w:line="250" w:lineRule="auto"/>
        <w:ind w:firstLine="259"/>
        <w:jc w:val="both"/>
      </w:pPr>
      <w:r>
        <w:rPr>
          <w:sz w:val="19"/>
        </w:rPr>
        <w:t>Conventional defensive perimeter filters—predominantly static domain blacklists and heuristic regular expression rule-sets—exhibit severe structural fragility. Attackers circumvent signature-based scanners via continuous linguistic paraphrasing, zero-day domain generation algorithms, and homoglyph masking. While deep contextual neural language models such as Bidirectional Encoder Representations from Transformers (BERT) and Recurrent Convolutional Neural Networks (RCNN) have established notable detection benchmarks, their prohibitive computational overhead, excessive parameter count, and non-deterministic GPU memory requirements impede real-time deployment within edge-tier mail transfer agents, browser extensions, and mobile endpoints. Furthermore, deep neural architectures operate as opaque black boxes, providing security operations centers (SOC) with zero semantic visibility into the specific linguistic cues triggering an interception.</w:t>
      </w:r>
    </w:p>
    <w:p>
      <w:pPr>
        <w:spacing w:before="0" w:after="60" w:line="250" w:lineRule="auto"/>
        <w:ind w:firstLine="259"/>
        <w:jc w:val="both"/>
      </w:pPr>
      <w:r>
        <w:rPr>
          <w:sz w:val="19"/>
        </w:rPr>
        <w:t>To resolve this operational tension between classification fidelity, inference latency, and interpretability, this investigation introduces PhishShieldAI. PhishShieldAI is an intelligent, multi-view threat detection framework that bridges high-dimensional lexical term weighting, Platt-calibrated maximum-margin classification, and post-hoc Explainable Artificial Intelligence (XAI). Grounded upon a rigorous benchmarking of five supervised algorithmic families across a standardized corpus of 5,572 communication samples, the proposed architecture establishes that a mathematically optimized Linear Support Vector Machine (Linear SVM) operating over a 5,000-dimensional term frequency-inverse document frequency (TF-IDF) feature space outperforms probabilistic, tree-based, and ensemble baselines while preserving sub-millisecond execution overhead.</w:t>
      </w:r>
    </w:p>
    <w:p>
      <w:pPr>
        <w:spacing w:before="0" w:after="60" w:line="250" w:lineRule="auto"/>
        <w:ind w:firstLine="259"/>
        <w:jc w:val="both"/>
      </w:pPr>
      <w:r>
        <w:rPr>
          <w:sz w:val="19"/>
        </w:rPr>
        <w:t>The principal technical contributions of this research are:</w:t>
      </w:r>
    </w:p>
    <w:p>
      <w:pPr>
        <w:spacing w:before="0" w:after="60" w:line="250" w:lineRule="auto"/>
        <w:ind w:firstLine="259"/>
        <w:jc w:val="both"/>
      </w:pPr>
      <w:r>
        <w:rPr>
          <w:sz w:val="19"/>
        </w:rPr>
        <w:t>1) Multi-View Threat Detection Architecture: Integration of sparse 5,000-dimensional TF-IDF linguistic representations with parallel heuristic analysis pipelines that identify psychological urgency markers, raw IP host obfuscation, and capitalization stress ratios.</w:t>
      </w:r>
    </w:p>
    <w:p>
      <w:pPr>
        <w:spacing w:before="0" w:after="60" w:line="250" w:lineRule="auto"/>
        <w:ind w:firstLine="259"/>
        <w:jc w:val="both"/>
      </w:pPr>
      <w:r>
        <w:rPr>
          <w:sz w:val="19"/>
        </w:rPr>
        <w:t>2) Empirical Five-Family Model Benchmarking: An empirical head-to-head evaluation across five distinct learning paradigms (Multinomial Naive Bayes, Logistic Regression, Decision Tree, Random Forest, and Linear SVM) under identical stratified conditions.</w:t>
      </w:r>
    </w:p>
    <w:p>
      <w:pPr>
        <w:spacing w:before="0" w:after="60" w:line="250" w:lineRule="auto"/>
        <w:ind w:firstLine="259"/>
        <w:jc w:val="both"/>
      </w:pPr>
      <w:r>
        <w:rPr>
          <w:sz w:val="19"/>
        </w:rPr>
        <w:t>3) Platt-Calibrated Posterior Estimation: Implementation of sigmoid logistic calibration over raw geometric hyperplanes, transforming unbounded SVM functional margins into reliable, bounded posterior class probabilities.</w:t>
      </w:r>
    </w:p>
    <w:p>
      <w:pPr>
        <w:spacing w:before="0" w:after="60" w:line="250" w:lineRule="auto"/>
        <w:ind w:firstLine="259"/>
        <w:jc w:val="both"/>
      </w:pPr>
      <w:r>
        <w:rPr>
          <w:sz w:val="19"/>
        </w:rPr>
        <w:t>4) Explainable AI (XAI) Token Attribution: Real-time parameter extraction mapping learned normal vector weights directly to individual tokens, providing human analysts with transparent linguistic attribution for each classified message.</w:t>
      </w:r>
    </w:p>
    <w:p>
      <w:pPr>
        <w:spacing w:before="200" w:after="80"/>
        <w:jc w:val="center"/>
      </w:pPr>
      <w:r>
        <w:rPr>
          <w:b/>
          <w:sz w:val="20"/>
        </w:rPr>
        <w:t>II.  RELATED WORK</w:t>
      </w:r>
    </w:p>
    <w:p>
      <w:pPr>
        <w:spacing w:before="0" w:after="60" w:line="250" w:lineRule="auto"/>
        <w:jc w:val="both"/>
      </w:pPr>
      <w:r>
        <w:rPr>
          <w:sz w:val="19"/>
        </w:rPr>
        <w:t>Automated phishing countermeasures in contemporary literature diverge into three architectural categories: URL-centric network heuristics, content-driven linguistic modeling, and deep contextual representations.</w:t>
      </w:r>
    </w:p>
    <w:p>
      <w:pPr>
        <w:spacing w:before="160" w:after="60"/>
        <w:jc w:val="left"/>
      </w:pPr>
      <w:r>
        <w:rPr>
          <w:b/>
          <w:i/>
          <w:sz w:val="19"/>
        </w:rPr>
        <w:t>A.  Lexical and Content-Driven Filtering</w:t>
      </w:r>
    </w:p>
    <w:p>
      <w:pPr>
        <w:spacing w:before="0" w:after="60" w:line="250" w:lineRule="auto"/>
        <w:ind w:firstLine="259"/>
        <w:jc w:val="both"/>
      </w:pPr>
      <w:r>
        <w:rPr>
          <w:sz w:val="19"/>
        </w:rPr>
        <w:t>Linguistic feature engineering remains the bedrock of content-based filtering. Alhogail and Alsabih [1] developed an NLP-engineered framework evaluating predictive text features, demonstrating that morphological stemming and term frequency weighting significantly surpass static keyword matchers. In a related study, Sahu and Rath [2] evaluated hybrid deep learning pipelines against bag-of-words architectures, reporting that while deep recurrent networks capture sequential syntax, high-dimensional statistical feature spaces offer superior stability on short-form deceptive texts. Bountakas and Xenakis [4] proposed HELPHIN, a hybrid ensemble learning architecture combining content-based representations with cost-sensitive penalties, validating that minimizing false negatives is paramount in deceptive threat categorization.</w:t>
      </w:r>
    </w:p>
    <w:p>
      <w:pPr>
        <w:spacing w:before="160" w:after="60"/>
        <w:jc w:val="left"/>
      </w:pPr>
      <w:r>
        <w:rPr>
          <w:b/>
          <w:i/>
          <w:sz w:val="19"/>
        </w:rPr>
        <w:t>B.  Comparative Machine Learning and Embedding Representations</w:t>
      </w:r>
    </w:p>
    <w:p>
      <w:pPr>
        <w:spacing w:before="0" w:after="60" w:line="250" w:lineRule="auto"/>
        <w:ind w:firstLine="259"/>
        <w:jc w:val="both"/>
      </w:pPr>
      <w:r>
        <w:rPr>
          <w:sz w:val="19"/>
        </w:rPr>
        <w:t>Recent comprehensive surveys emphasize the persistent trade-offs between deep neural networks and classical classifiers. Divakaran and Oest [3] surveyed machine learning and deep learning methodologies across email security, establishing that classical models trained on sparse TF-IDF vectors maintain state-of-the-art detection precision in low-latency environments where computational thrift is mandatory. Al Tawil et al. [6] executed a comparative empirical analysis evaluating TF-IDF, Word2Vec, and BERT embeddings across traditional classifiers; their findings demonstrated that classical TF-IDF paired with linear margin separators matched or exceeded heavy contextual transformers on standard email security datasets, while consuming less than one-fiftieth of the inference time. Dewis and Viana [5] conducted systematic benchmarks across Latin American email corpora, corroborating that support vector architectures consistently achieve superior generalization margins compared to probabilistic Naive Bayes estimators.</w:t>
      </w:r>
    </w:p>
    <w:p>
      <w:pPr>
        <w:spacing w:before="160" w:after="60"/>
        <w:jc w:val="left"/>
      </w:pPr>
      <w:r>
        <w:rPr>
          <w:b/>
          <w:i/>
          <w:sz w:val="19"/>
        </w:rPr>
        <w:t>C.  Explainability and Large Language Model Interventions</w:t>
      </w:r>
    </w:p>
    <w:p>
      <w:pPr>
        <w:spacing w:before="0" w:after="60" w:line="250" w:lineRule="auto"/>
        <w:ind w:firstLine="259"/>
        <w:jc w:val="both"/>
      </w:pPr>
      <w:r>
        <w:rPr>
          <w:sz w:val="19"/>
        </w:rPr>
        <w:t>The emergence of Large Language Models (LLMs) has introduced new paradigms to deceptive content analysis. Uddin and Sarker [7] implemented an explainable transformer detector, demonstrating that enterprise adoption relies upon human-interpretable rationale rather than isolated scalar predictions. Koide et al. [8] introduced ChatSpamDetector, exploring LLM prompt engineering for phishing categorization; however, their study documented severe token processing costs and inference latencies exceeding 800 milliseconds per transaction, proving prohibitive for line-rate gateway inspection. Ozgur and Erdem [10] surveyed XAI methodologies across cybersecurity, emphasizing that linear models with explicit weight extractions yield the most reliable, deterministic local feature attributions without requiring stochastic surrogate approximations like LIME. Building upon these empirical precedents, PhishShieldAI optimizes classical maximum-margin learning to deliver deterministic explainability, sub-5ms throughput, and state-of-the-art classification performance.</w:t>
      </w:r>
    </w:p>
    <w:p>
      <w:pPr>
        <w:spacing w:before="120" w:after="40"/>
        <w:jc w:val="center"/>
      </w:pPr>
      <w:r>
        <w:drawing>
          <wp:inline xmlns:a="http://schemas.openxmlformats.org/drawingml/2006/main" xmlns:pic="http://schemas.openxmlformats.org/drawingml/2006/picture">
            <wp:extent cx="3063240" cy="1604000"/>
            <wp:docPr id="1" name="Picture 1"/>
            <wp:cNvGraphicFramePr>
              <a:graphicFrameLocks noChangeAspect="1"/>
            </wp:cNvGraphicFramePr>
            <a:graphic>
              <a:graphicData uri="http://schemas.openxmlformats.org/drawingml/2006/picture">
                <pic:pic>
                  <pic:nvPicPr>
                    <pic:cNvPr id="0" name="fig1_system_architecture.png"/>
                    <pic:cNvPicPr/>
                  </pic:nvPicPr>
                  <pic:blipFill>
                    <a:blip r:embed="rId9"/>
                    <a:stretch>
                      <a:fillRect/>
                    </a:stretch>
                  </pic:blipFill>
                  <pic:spPr>
                    <a:xfrm>
                      <a:off x="0" y="0"/>
                      <a:ext cx="3063240" cy="1604000"/>
                    </a:xfrm>
                    <a:prstGeom prst="rect"/>
                  </pic:spPr>
                </pic:pic>
              </a:graphicData>
            </a:graphic>
          </wp:inline>
        </w:drawing>
      </w:r>
    </w:p>
    <w:p>
      <w:pPr>
        <w:spacing w:before="40" w:after="160"/>
        <w:jc w:val="center"/>
      </w:pPr>
      <w:r>
        <w:rPr>
          <w:b/>
          <w:sz w:val="17"/>
        </w:rPr>
        <w:t>Fig. 1. Architectural schematic of the proposed PhishShieldAI multi-view framework.</w:t>
      </w:r>
    </w:p>
    <w:p>
      <w:pPr>
        <w:spacing w:before="200" w:after="80"/>
        <w:jc w:val="center"/>
      </w:pPr>
      <w:r>
        <w:rPr>
          <w:b/>
          <w:sz w:val="20"/>
        </w:rPr>
        <w:t>III.  PROPOSED METHODOLOGY</w:t>
      </w:r>
    </w:p>
    <w:p>
      <w:pPr>
        <w:spacing w:before="0" w:after="60" w:line="250" w:lineRule="auto"/>
        <w:jc w:val="both"/>
      </w:pPr>
      <w:r>
        <w:rPr>
          <w:sz w:val="19"/>
        </w:rPr>
        <w:t>The PhishShieldAI framework operates as an integrated multi-view analytical pipeline encompassing five sequential computational phases: text normalization, sparse vectorization, heuristic structural extraction, calibrated margin classification, and token attribution.</w:t>
      </w:r>
    </w:p>
    <w:p>
      <w:pPr>
        <w:spacing w:before="160" w:after="60"/>
        <w:jc w:val="left"/>
      </w:pPr>
      <w:r>
        <w:rPr>
          <w:b/>
          <w:i/>
          <w:sz w:val="19"/>
        </w:rPr>
        <w:t>A.  NLP Text Preprocessing Pipeline</w:t>
      </w:r>
    </w:p>
    <w:p>
      <w:pPr>
        <w:spacing w:before="0" w:after="60" w:line="250" w:lineRule="auto"/>
        <w:ind w:firstLine="259"/>
        <w:jc w:val="both"/>
      </w:pPr>
      <w:r>
        <w:rPr>
          <w:sz w:val="19"/>
        </w:rPr>
        <w:t>Unstructured electronic messages contain linguistic noise, varying character encodings, and syntactic irregularities. Let an incoming message be denoted as an arbitrary string of characters S. Preprocessing transforms S into a canonical sequence of informative morphological stems T = {t_1, t_2, ..., t_m} through five deterministic operations:</w:t>
      </w:r>
    </w:p>
    <w:p>
      <w:pPr>
        <w:spacing w:before="0" w:after="60" w:line="250" w:lineRule="auto"/>
        <w:ind w:firstLine="259"/>
        <w:jc w:val="both"/>
      </w:pPr>
      <w:r>
        <w:rPr>
          <w:sz w:val="19"/>
        </w:rPr>
        <w:t>1) Case Normalization: Every uppercase character is converted to lowercase: c &lt;- tolower(c), for all c in S.</w:t>
      </w:r>
    </w:p>
    <w:p>
      <w:pPr>
        <w:spacing w:before="0" w:after="60" w:line="250" w:lineRule="auto"/>
        <w:ind w:firstLine="259"/>
        <w:jc w:val="both"/>
      </w:pPr>
      <w:r>
        <w:rPr>
          <w:sz w:val="19"/>
        </w:rPr>
        <w:t>2) URL Isolation: Hyperlinks matching standard transmission protocols are parsed for heuristic analysis and stripped from the lexical stream using the regular expression: R_url &lt;- https?://\S+|www\.\S+.</w:t>
      </w:r>
    </w:p>
    <w:p>
      <w:pPr>
        <w:spacing w:before="0" w:after="60" w:line="250" w:lineRule="auto"/>
        <w:ind w:firstLine="259"/>
        <w:jc w:val="both"/>
      </w:pPr>
      <w:r>
        <w:rPr>
          <w:sz w:val="19"/>
        </w:rPr>
        <w:t>3) Punctuation and Numeric Filtering: Non-alphabetic characters are purged via R_alpha &lt;- [^a-zA-Z], substituting delimiters with standard whitespace.</w:t>
      </w:r>
    </w:p>
    <w:p>
      <w:pPr>
        <w:spacing w:before="0" w:after="60" w:line="250" w:lineRule="auto"/>
        <w:ind w:firstLine="259"/>
        <w:jc w:val="both"/>
      </w:pPr>
      <w:r>
        <w:rPr>
          <w:sz w:val="19"/>
        </w:rPr>
        <w:t>4) Stopword Elimination: Non-discriminative syntactic grammatical particles (articles, prepositions, auxiliary verbs) are filtered using the NLTK English stopword lexicon L_stop: W = {w | w in tokenize(S) and w not in L_stop}.</w:t>
      </w:r>
    </w:p>
    <w:p>
      <w:pPr>
        <w:spacing w:before="0" w:after="60" w:line="250" w:lineRule="auto"/>
        <w:ind w:firstLine="259"/>
        <w:jc w:val="both"/>
      </w:pPr>
      <w:r>
        <w:rPr>
          <w:sz w:val="19"/>
        </w:rPr>
        <w:t>5) Morphological Stemming: To compress vocabulary dimensionality and group inflectional forms, the Porter Stemming algorithm reduces words to shared linguistic roots (e.g., 'suspending', 'suspended', 'suspension' -&gt; 'suspend').</w:t>
      </w:r>
    </w:p>
    <w:p>
      <w:pPr>
        <w:spacing w:before="160" w:after="60"/>
        <w:jc w:val="left"/>
      </w:pPr>
      <w:r>
        <w:rPr>
          <w:b/>
          <w:i/>
          <w:sz w:val="19"/>
        </w:rPr>
        <w:t>B.  TF-IDF Feature Space Construction</w:t>
      </w:r>
    </w:p>
    <w:p>
      <w:pPr>
        <w:spacing w:before="0" w:after="60" w:line="250" w:lineRule="auto"/>
        <w:ind w:firstLine="259"/>
        <w:jc w:val="both"/>
      </w:pPr>
      <w:r>
        <w:rPr>
          <w:sz w:val="19"/>
        </w:rPr>
        <w:t>Cleaned token sequences are mapped into a high-dimensional Euclidean feature space via Term Frequency-Inverse Document Frequency (TF-IDF) weighting. Let D denote the training corpus of N messages, and let V represent the vocabulary bounded to the V = 5,000 most informative unigram terms. For term v_j in document d_i, term frequency TF(v_j, d_i) reflects local prominence:</w:t>
      </w:r>
    </w:p>
    <w:p>
      <w:pPr>
        <w:spacing w:before="0" w:after="60" w:line="250" w:lineRule="auto"/>
        <w:ind w:firstLine="259"/>
        <w:jc w:val="both"/>
      </w:pPr>
      <w:r>
        <w:rPr>
          <w:sz w:val="19"/>
        </w:rPr>
        <w:t>TF(v_j, d_i) = f(v_j, d_i) / sum_{k} f(v_k, d_i)</w:t>
      </w:r>
    </w:p>
    <w:p>
      <w:pPr>
        <w:spacing w:before="0" w:after="60" w:line="250" w:lineRule="auto"/>
        <w:ind w:firstLine="259"/>
        <w:jc w:val="both"/>
      </w:pPr>
      <w:r>
        <w:rPr>
          <w:sz w:val="19"/>
        </w:rPr>
        <w:t>The inverse document frequency IDF(v_j, D) penalizes universally ubiquitous terms:</w:t>
      </w:r>
    </w:p>
    <w:p>
      <w:pPr>
        <w:spacing w:before="0" w:after="60" w:line="250" w:lineRule="auto"/>
        <w:ind w:firstLine="259"/>
        <w:jc w:val="both"/>
      </w:pPr>
      <w:r>
        <w:rPr>
          <w:sz w:val="19"/>
        </w:rPr>
        <w:t>IDF(v_j, D) = ln((1 + N) / (1 + |{d in D : v_j in d}|)) + 1</w:t>
      </w:r>
    </w:p>
    <w:p>
      <w:pPr>
        <w:spacing w:before="0" w:after="60" w:line="250" w:lineRule="auto"/>
        <w:ind w:firstLine="259"/>
        <w:jc w:val="both"/>
      </w:pPr>
      <w:r>
        <w:rPr>
          <w:sz w:val="19"/>
        </w:rPr>
        <w:t>The unnormalized term weight x_ij = TF(v_j, d_i) * IDF(v_j, D) is standardized under Euclidean L2-norm, producing sparse unit vectors x_hat in R^{5000}.</w:t>
      </w:r>
    </w:p>
    <w:p>
      <w:pPr>
        <w:spacing w:before="160" w:after="60"/>
        <w:jc w:val="left"/>
      </w:pPr>
      <w:r>
        <w:rPr>
          <w:b/>
          <w:i/>
          <w:sz w:val="19"/>
        </w:rPr>
        <w:t>C.  Maximum-Margin Classification with Platt Calibration</w:t>
      </w:r>
    </w:p>
    <w:p>
      <w:pPr>
        <w:spacing w:before="0" w:after="60" w:line="250" w:lineRule="auto"/>
        <w:ind w:firstLine="259"/>
        <w:jc w:val="both"/>
      </w:pPr>
      <w:r>
        <w:rPr>
          <w:sz w:val="19"/>
        </w:rPr>
        <w:t>The core decision engine employs a Linear Support Vector Machine (Linear SVM). Given training pairs {(x_i, y_i)} with labels y_i in {-1, +1} representing legitimate and deceptive messages, the classifier establishes an optimal separating hyperplane f(x) = w^T x + b by solving:</w:t>
      </w:r>
    </w:p>
    <w:p>
      <w:pPr>
        <w:spacing w:before="0" w:after="60" w:line="250" w:lineRule="auto"/>
        <w:ind w:firstLine="259"/>
        <w:jc w:val="both"/>
      </w:pPr>
      <w:r>
        <w:rPr>
          <w:sz w:val="19"/>
        </w:rPr>
        <w:t>min_{w, b, xi} (1/2) ||w||^2 + C * sum_{i=1}^N xi_i</w:t>
      </w:r>
    </w:p>
    <w:p>
      <w:pPr>
        <w:spacing w:before="0" w:after="60" w:line="250" w:lineRule="auto"/>
        <w:ind w:firstLine="259"/>
        <w:jc w:val="both"/>
      </w:pPr>
      <w:r>
        <w:rPr>
          <w:sz w:val="19"/>
        </w:rPr>
        <w:t>subject to y_i (w^T x_i + b) &gt;= 1 - xi_i, xi_i &gt;= 0.</w:t>
      </w:r>
    </w:p>
    <w:p>
      <w:pPr>
        <w:spacing w:before="0" w:after="60" w:line="250" w:lineRule="auto"/>
        <w:ind w:firstLine="259"/>
        <w:jc w:val="both"/>
      </w:pPr>
      <w:r>
        <w:rPr>
          <w:sz w:val="19"/>
        </w:rPr>
        <w:t>Because raw decision margins denote unbounded geometric distances, PhishShieldAI introduces 5-fold cross-validated Platt scaling. A parametric sigmoid transformation maps f(x) into a true posterior probability:</w:t>
      </w:r>
    </w:p>
    <w:p>
      <w:pPr>
        <w:spacing w:before="0" w:after="60" w:line="250" w:lineRule="auto"/>
        <w:ind w:firstLine="259"/>
        <w:jc w:val="both"/>
      </w:pPr>
      <w:r>
        <w:rPr>
          <w:sz w:val="19"/>
        </w:rPr>
        <w:t>P(y = +1 | x) = 1 / (1 + exp(A * f(x) + B))</w:t>
      </w:r>
    </w:p>
    <w:p>
      <w:pPr>
        <w:spacing w:before="0" w:after="60" w:line="250" w:lineRule="auto"/>
        <w:ind w:firstLine="259"/>
        <w:jc w:val="both"/>
      </w:pPr>
      <w:r>
        <w:rPr>
          <w:sz w:val="19"/>
        </w:rPr>
        <w:t>Parameters A and B are estimated by minimizing negative log-likelihood over out-of-fold cross-validation estimates, yielding calibrated threat confidences.</w:t>
      </w:r>
    </w:p>
    <w:p>
      <w:pPr>
        <w:spacing w:before="160" w:after="60"/>
        <w:jc w:val="left"/>
      </w:pPr>
      <w:r>
        <w:rPr>
          <w:b/>
          <w:i/>
          <w:sz w:val="19"/>
        </w:rPr>
        <w:t>D.  Multi-View Structural and Urgency Heuristics</w:t>
      </w:r>
    </w:p>
    <w:p>
      <w:pPr>
        <w:spacing w:before="0" w:after="60" w:line="250" w:lineRule="auto"/>
        <w:ind w:firstLine="259"/>
        <w:jc w:val="both"/>
      </w:pPr>
      <w:r>
        <w:rPr>
          <w:sz w:val="19"/>
        </w:rPr>
        <w:t>Operating in parallel with vector classification, PhishShieldAI inspects two structural indicators:</w:t>
      </w:r>
    </w:p>
    <w:p>
      <w:pPr>
        <w:spacing w:before="0" w:after="60" w:line="250" w:lineRule="auto"/>
        <w:ind w:firstLine="259"/>
        <w:jc w:val="both"/>
      </w:pPr>
      <w:r>
        <w:rPr>
          <w:sz w:val="19"/>
        </w:rPr>
        <w:t>1) Cognitive Urgency Profiling: A targeted regular-expression engine scans for coercive psychological manipulation patterns designed to induce panic, targeting triggers such as 'immediate action required', 'account suspended', 'within 24 hours', and 'unauthorized access'.</w:t>
      </w:r>
    </w:p>
    <w:p>
      <w:pPr>
        <w:spacing w:before="0" w:after="60" w:line="250" w:lineRule="auto"/>
        <w:ind w:firstLine="259"/>
        <w:jc w:val="both"/>
      </w:pPr>
      <w:r>
        <w:rPr>
          <w:sz w:val="19"/>
        </w:rPr>
        <w:t>2) Network Evasion Scanning: The framework checks embedded URLs for raw IP hosts (e.g., http://192.168.1.1/login), which bypass DNS domain reputation filters. Additionally, the uppercase ratio H_caps = (N_uppercase / N_words) * 100 flags aggressive psychological intimidation.</w:t>
      </w:r>
    </w:p>
    <w:p>
      <w:pPr>
        <w:spacing w:before="160" w:after="60"/>
        <w:jc w:val="left"/>
      </w:pPr>
      <w:r>
        <w:rPr>
          <w:b/>
          <w:i/>
          <w:sz w:val="19"/>
        </w:rPr>
        <w:t>E.  Explainable AI (XAI) Token Attribution</w:t>
      </w:r>
    </w:p>
    <w:p>
      <w:pPr>
        <w:spacing w:before="0" w:after="60" w:line="250" w:lineRule="auto"/>
        <w:ind w:firstLine="259"/>
        <w:jc w:val="both"/>
      </w:pPr>
      <w:r>
        <w:rPr>
          <w:sz w:val="19"/>
        </w:rPr>
        <w:t>To eliminate black-box opacity, PhishShieldAI leverages the direct mathematical correspondence between linear hyperplane weights and vocabulary features. For the optimal normal vector w, the scalar weight w_j designates the global influence of stem v_j. For an analyzed message, local feature attributions are extracted directly: alpha(t) = w_{index(t)}. Stems satisfying alpha(t) &gt; +0.30 are surfaced as active phishing indicators (e.g., 'claim', 'prize', 'award', 'urgent'), while stems with alpha(t) &lt; -0.30 designate legitimate anchors (e.g., 'work', 'meeting', 'later'). This provides security analysts with instantaneous, deterministic explanations.</w:t>
      </w:r>
    </w:p>
    <w:p>
      <w:pPr>
        <w:spacing w:before="200" w:after="80"/>
        <w:jc w:val="center"/>
      </w:pPr>
      <w:r>
        <w:rPr>
          <w:b/>
          <w:sz w:val="20"/>
        </w:rPr>
        <w:t>IV.  EXPERIMENTAL CONFIGURATION</w:t>
      </w:r>
    </w:p>
    <w:p>
      <w:pPr>
        <w:spacing w:before="0" w:after="60" w:line="250" w:lineRule="auto"/>
        <w:jc w:val="both"/>
      </w:pPr>
      <w:r>
        <w:rPr>
          <w:sz w:val="19"/>
        </w:rPr>
        <w:t>The empirical pipeline was evaluated over a benchmark dataset comprising 5,572 verified messages. As summarized in Table I, the corpus reflects realistic enterprise distribution properties, where legitimate communication heavily exceeds malicious attacks.</w:t>
      </w:r>
    </w:p>
    <w:p>
      <w:pPr>
        <w:spacing w:before="120" w:after="40"/>
        <w:jc w:val="center"/>
      </w:pPr>
      <w:r>
        <w:rPr>
          <w:b/>
          <w:sz w:val="17"/>
        </w:rPr>
        <w:t>TABLE I</w:t>
        <w:br/>
        <w:t>DATASET CLASS DISTRIBUTION</w:t>
      </w:r>
    </w:p>
    <w:tbl>
      <w:tblPr>
        <w:tblW w:type="auto" w:w="0"/>
        <w:jc w:val="center"/>
        <w:tblLook w:firstColumn="1" w:firstRow="1" w:lastColumn="0" w:lastRow="0" w:noHBand="0" w:noVBand="1" w:val="04A0"/>
      </w:tblPr>
      <w:tblGrid>
        <w:gridCol w:w="3480"/>
        <w:gridCol w:w="3480"/>
        <w:gridCol w:w="3480"/>
      </w:tblGrid>
      <w:tr>
        <w:tc>
          <w:tcPr>
            <w:tcW w:type="dxa" w:w="3480"/>
          </w:tcPr>
          <w:p>
            <w:pPr>
              <w:jc w:val="center"/>
            </w:pPr>
            <w:r>
              <w:rPr>
                <w:b/>
                <w:sz w:val="17"/>
              </w:rPr>
              <w:t>Category</w:t>
            </w:r>
          </w:p>
        </w:tc>
        <w:tc>
          <w:tcPr>
            <w:tcW w:type="dxa" w:w="3480"/>
          </w:tcPr>
          <w:p>
            <w:pPr>
              <w:jc w:val="center"/>
            </w:pPr>
            <w:r>
              <w:rPr>
                <w:b/>
                <w:sz w:val="17"/>
              </w:rPr>
              <w:t>Sample Count</w:t>
            </w:r>
          </w:p>
        </w:tc>
        <w:tc>
          <w:tcPr>
            <w:tcW w:type="dxa" w:w="3480"/>
          </w:tcPr>
          <w:p>
            <w:pPr>
              <w:jc w:val="center"/>
            </w:pPr>
            <w:r>
              <w:rPr>
                <w:b/>
                <w:sz w:val="17"/>
              </w:rPr>
              <w:t>Percentage (%)</w:t>
            </w:r>
          </w:p>
        </w:tc>
      </w:tr>
      <w:tr>
        <w:tc>
          <w:tcPr>
            <w:tcW w:type="dxa" w:w="3480"/>
          </w:tcPr>
          <w:p>
            <w:pPr>
              <w:jc w:val="center"/>
            </w:pPr>
            <w:r>
              <w:rPr>
                <w:sz w:val="17"/>
              </w:rPr>
              <w:t>Ham (Legitimate)</w:t>
            </w:r>
          </w:p>
        </w:tc>
        <w:tc>
          <w:tcPr>
            <w:tcW w:type="dxa" w:w="3480"/>
          </w:tcPr>
          <w:p>
            <w:pPr>
              <w:jc w:val="center"/>
            </w:pPr>
            <w:r>
              <w:rPr>
                <w:sz w:val="17"/>
              </w:rPr>
              <w:t>4,825</w:t>
            </w:r>
          </w:p>
        </w:tc>
        <w:tc>
          <w:tcPr>
            <w:tcW w:type="dxa" w:w="3480"/>
          </w:tcPr>
          <w:p>
            <w:pPr>
              <w:jc w:val="center"/>
            </w:pPr>
            <w:r>
              <w:rPr>
                <w:sz w:val="17"/>
              </w:rPr>
              <w:t>86.6%</w:t>
            </w:r>
          </w:p>
        </w:tc>
      </w:tr>
      <w:tr>
        <w:tc>
          <w:tcPr>
            <w:tcW w:type="dxa" w:w="3480"/>
          </w:tcPr>
          <w:p>
            <w:pPr>
              <w:jc w:val="center"/>
            </w:pPr>
            <w:r>
              <w:rPr>
                <w:sz w:val="17"/>
              </w:rPr>
              <w:t>Spam (Phishing)</w:t>
            </w:r>
          </w:p>
        </w:tc>
        <w:tc>
          <w:tcPr>
            <w:tcW w:type="dxa" w:w="3480"/>
          </w:tcPr>
          <w:p>
            <w:pPr>
              <w:jc w:val="center"/>
            </w:pPr>
            <w:r>
              <w:rPr>
                <w:sz w:val="17"/>
              </w:rPr>
              <w:t>747</w:t>
            </w:r>
          </w:p>
        </w:tc>
        <w:tc>
          <w:tcPr>
            <w:tcW w:type="dxa" w:w="3480"/>
          </w:tcPr>
          <w:p>
            <w:pPr>
              <w:jc w:val="center"/>
            </w:pPr>
            <w:r>
              <w:rPr>
                <w:sz w:val="17"/>
              </w:rPr>
              <w:t>13.4%</w:t>
            </w:r>
          </w:p>
        </w:tc>
      </w:tr>
      <w:tr>
        <w:tc>
          <w:tcPr>
            <w:tcW w:type="dxa" w:w="3480"/>
          </w:tcPr>
          <w:p>
            <w:pPr>
              <w:jc w:val="center"/>
            </w:pPr>
            <w:r>
              <w:rPr>
                <w:b/>
                <w:sz w:val="17"/>
              </w:rPr>
              <w:t>Total Population</w:t>
            </w:r>
          </w:p>
        </w:tc>
        <w:tc>
          <w:tcPr>
            <w:tcW w:type="dxa" w:w="3480"/>
          </w:tcPr>
          <w:p>
            <w:pPr>
              <w:jc w:val="center"/>
            </w:pPr>
            <w:r>
              <w:rPr>
                <w:b/>
                <w:sz w:val="17"/>
              </w:rPr>
              <w:t>5,572</w:t>
            </w:r>
          </w:p>
        </w:tc>
        <w:tc>
          <w:tcPr>
            <w:tcW w:type="dxa" w:w="3480"/>
          </w:tcPr>
          <w:p>
            <w:pPr>
              <w:jc w:val="center"/>
            </w:pPr>
            <w:r>
              <w:rPr>
                <w:b/>
                <w:sz w:val="17"/>
              </w:rPr>
              <w:t>100.0%</w:t>
            </w:r>
          </w:p>
        </w:tc>
      </w:tr>
    </w:tbl>
    <w:p>
      <w:pPr>
        <w:spacing w:before="120" w:after="40"/>
        <w:jc w:val="center"/>
      </w:pPr>
      <w:r>
        <w:drawing>
          <wp:inline xmlns:a="http://schemas.openxmlformats.org/drawingml/2006/main" xmlns:pic="http://schemas.openxmlformats.org/drawingml/2006/picture">
            <wp:extent cx="3063240" cy="1291393"/>
            <wp:docPr id="2" name="Picture 2"/>
            <wp:cNvGraphicFramePr>
              <a:graphicFrameLocks noChangeAspect="1"/>
            </wp:cNvGraphicFramePr>
            <a:graphic>
              <a:graphicData uri="http://schemas.openxmlformats.org/drawingml/2006/picture">
                <pic:pic>
                  <pic:nvPicPr>
                    <pic:cNvPr id="0" name="fig2_class_distribution.png"/>
                    <pic:cNvPicPr/>
                  </pic:nvPicPr>
                  <pic:blipFill>
                    <a:blip r:embed="rId10"/>
                    <a:stretch>
                      <a:fillRect/>
                    </a:stretch>
                  </pic:blipFill>
                  <pic:spPr>
                    <a:xfrm>
                      <a:off x="0" y="0"/>
                      <a:ext cx="3063240" cy="1291393"/>
                    </a:xfrm>
                    <a:prstGeom prst="rect"/>
                  </pic:spPr>
                </pic:pic>
              </a:graphicData>
            </a:graphic>
          </wp:inline>
        </w:drawing>
      </w:r>
    </w:p>
    <w:p>
      <w:pPr>
        <w:spacing w:before="40" w:after="160"/>
        <w:jc w:val="center"/>
      </w:pPr>
      <w:r>
        <w:rPr>
          <w:b/>
          <w:sz w:val="17"/>
        </w:rPr>
        <w:t>Fig. 2. Class imbalance and proportional distribution of the experimental corpus.</w:t>
      </w:r>
    </w:p>
    <w:p>
      <w:pPr>
        <w:spacing w:before="0" w:after="60" w:line="250" w:lineRule="auto"/>
        <w:ind w:firstLine="259"/>
        <w:jc w:val="both"/>
      </w:pPr>
      <w:r>
        <w:rPr>
          <w:sz w:val="19"/>
        </w:rPr>
        <w:t>Message lengths range from 2 to 910 characters, with an average length of 80.5 characters (sigma = 59.9). The distribution is heavily right-skewed, simulating dense mobile messaging and short-form deceptive attacks.</w:t>
      </w:r>
    </w:p>
    <w:p>
      <w:pPr>
        <w:spacing w:before="0" w:after="60" w:line="250" w:lineRule="auto"/>
        <w:ind w:firstLine="259"/>
        <w:jc w:val="both"/>
      </w:pPr>
      <w:r>
        <w:rPr>
          <w:sz w:val="19"/>
        </w:rPr>
        <w:t>To guarantee exact class proportionality across partitions, an 80:20 stratified split was executed using a deterministic random seed (seed = 42), producing a training partition of 4,457 messages and a hold-out evaluation partition of 1,115 messages.</w:t>
      </w:r>
    </w:p>
    <w:p>
      <w:pPr>
        <w:spacing w:before="0" w:after="60" w:line="250" w:lineRule="auto"/>
        <w:ind w:firstLine="259"/>
        <w:jc w:val="both"/>
      </w:pPr>
      <w:r>
        <w:rPr>
          <w:sz w:val="19"/>
        </w:rPr>
        <w:t>Model performance was evaluated across Accuracy (Acc), Precision (Prec), Recall (Rec), and F1-Score (F1) to measure asymmetric classification costs.</w:t>
      </w:r>
    </w:p>
    <w:p>
      <w:pPr>
        <w:spacing w:before="200" w:after="80"/>
        <w:jc w:val="center"/>
      </w:pPr>
      <w:r>
        <w:rPr>
          <w:b/>
          <w:sz w:val="20"/>
        </w:rPr>
        <w:t>V.  RESULTS AND DISCUSSION</w:t>
      </w:r>
    </w:p>
    <w:p>
      <w:pPr>
        <w:spacing w:before="0" w:after="60" w:line="250" w:lineRule="auto"/>
        <w:jc w:val="both"/>
      </w:pPr>
      <w:r>
        <w:rPr>
          <w:sz w:val="19"/>
        </w:rPr>
        <w:t>Five supervised learning algorithms representing distinct mathematical families were trained and evaluated over identical 5,000-dimensional TF-IDF vectors. The empirical metrics on the unseen hold-out test set are compiled in Table II.</w:t>
      </w:r>
    </w:p>
    <w:p>
      <w:pPr>
        <w:spacing w:before="120" w:after="40"/>
        <w:jc w:val="center"/>
      </w:pPr>
      <w:r>
        <w:rPr>
          <w:b/>
          <w:sz w:val="17"/>
        </w:rPr>
        <w:t>TABLE II</w:t>
        <w:br/>
        <w:t>EMPIRICAL PERFORMANCE COMPARISON OF CLASSIFIERS</w:t>
      </w:r>
    </w:p>
    <w:tbl>
      <w:tblPr>
        <w:tblW w:type="auto" w:w="0"/>
        <w:jc w:val="center"/>
        <w:tblLook w:firstColumn="1" w:firstRow="1" w:lastColumn="0" w:lastRow="0" w:noHBand="0" w:noVBand="1" w:val="04A0"/>
      </w:tblPr>
      <w:tblGrid>
        <w:gridCol w:w="2088"/>
        <w:gridCol w:w="2088"/>
        <w:gridCol w:w="2088"/>
        <w:gridCol w:w="2088"/>
        <w:gridCol w:w="2088"/>
      </w:tblGrid>
      <w:tr>
        <w:tc>
          <w:tcPr>
            <w:tcW w:type="dxa" w:w="2088"/>
          </w:tcPr>
          <w:p>
            <w:pPr>
              <w:jc w:val="center"/>
            </w:pPr>
            <w:r>
              <w:rPr>
                <w:b/>
                <w:sz w:val="17"/>
              </w:rPr>
              <w:t>Model</w:t>
            </w:r>
          </w:p>
        </w:tc>
        <w:tc>
          <w:tcPr>
            <w:tcW w:type="dxa" w:w="2088"/>
          </w:tcPr>
          <w:p>
            <w:pPr>
              <w:jc w:val="center"/>
            </w:pPr>
            <w:r>
              <w:rPr>
                <w:b/>
                <w:sz w:val="17"/>
              </w:rPr>
              <w:t>Acc (%)</w:t>
            </w:r>
          </w:p>
        </w:tc>
        <w:tc>
          <w:tcPr>
            <w:tcW w:type="dxa" w:w="2088"/>
          </w:tcPr>
          <w:p>
            <w:pPr>
              <w:jc w:val="center"/>
            </w:pPr>
            <w:r>
              <w:rPr>
                <w:b/>
                <w:sz w:val="17"/>
              </w:rPr>
              <w:t>Prec (%)</w:t>
            </w:r>
          </w:p>
        </w:tc>
        <w:tc>
          <w:tcPr>
            <w:tcW w:type="dxa" w:w="2088"/>
          </w:tcPr>
          <w:p>
            <w:pPr>
              <w:jc w:val="center"/>
            </w:pPr>
            <w:r>
              <w:rPr>
                <w:b/>
                <w:sz w:val="17"/>
              </w:rPr>
              <w:t>Rec (%)</w:t>
            </w:r>
          </w:p>
        </w:tc>
        <w:tc>
          <w:tcPr>
            <w:tcW w:type="dxa" w:w="2088"/>
          </w:tcPr>
          <w:p>
            <w:pPr>
              <w:jc w:val="center"/>
            </w:pPr>
            <w:r>
              <w:rPr>
                <w:b/>
                <w:sz w:val="17"/>
              </w:rPr>
              <w:t>F1 (%)</w:t>
            </w:r>
          </w:p>
        </w:tc>
      </w:tr>
      <w:tr>
        <w:tc>
          <w:tcPr>
            <w:tcW w:type="dxa" w:w="2088"/>
          </w:tcPr>
          <w:p>
            <w:pPr>
              <w:jc w:val="center"/>
            </w:pPr>
            <w:r>
              <w:rPr>
                <w:sz w:val="17"/>
              </w:rPr>
              <w:t>Multinomial NB</w:t>
            </w:r>
          </w:p>
        </w:tc>
        <w:tc>
          <w:tcPr>
            <w:tcW w:type="dxa" w:w="2088"/>
          </w:tcPr>
          <w:p>
            <w:pPr>
              <w:jc w:val="center"/>
            </w:pPr>
            <w:r>
              <w:rPr>
                <w:sz w:val="17"/>
              </w:rPr>
              <w:t>96.86</w:t>
            </w:r>
          </w:p>
        </w:tc>
        <w:tc>
          <w:tcPr>
            <w:tcW w:type="dxa" w:w="2088"/>
          </w:tcPr>
          <w:p>
            <w:pPr>
              <w:jc w:val="center"/>
            </w:pPr>
            <w:r>
              <w:rPr>
                <w:sz w:val="17"/>
              </w:rPr>
              <w:t>99.14</w:t>
            </w:r>
          </w:p>
        </w:tc>
        <w:tc>
          <w:tcPr>
            <w:tcW w:type="dxa" w:w="2088"/>
          </w:tcPr>
          <w:p>
            <w:pPr>
              <w:jc w:val="center"/>
            </w:pPr>
            <w:r>
              <w:rPr>
                <w:sz w:val="17"/>
              </w:rPr>
              <w:t>77.18</w:t>
            </w:r>
          </w:p>
        </w:tc>
        <w:tc>
          <w:tcPr>
            <w:tcW w:type="dxa" w:w="2088"/>
          </w:tcPr>
          <w:p>
            <w:pPr>
              <w:jc w:val="center"/>
            </w:pPr>
            <w:r>
              <w:rPr>
                <w:sz w:val="17"/>
              </w:rPr>
              <w:t>86.79</w:t>
            </w:r>
          </w:p>
        </w:tc>
      </w:tr>
      <w:tr>
        <w:tc>
          <w:tcPr>
            <w:tcW w:type="dxa" w:w="2088"/>
          </w:tcPr>
          <w:p>
            <w:pPr>
              <w:jc w:val="center"/>
            </w:pPr>
            <w:r>
              <w:rPr>
                <w:sz w:val="17"/>
              </w:rPr>
              <w:t>Logistic Reg.</w:t>
            </w:r>
          </w:p>
        </w:tc>
        <w:tc>
          <w:tcPr>
            <w:tcW w:type="dxa" w:w="2088"/>
          </w:tcPr>
          <w:p>
            <w:pPr>
              <w:jc w:val="center"/>
            </w:pPr>
            <w:r>
              <w:rPr>
                <w:sz w:val="17"/>
              </w:rPr>
              <w:t>96.32</w:t>
            </w:r>
          </w:p>
        </w:tc>
        <w:tc>
          <w:tcPr>
            <w:tcW w:type="dxa" w:w="2088"/>
          </w:tcPr>
          <w:p>
            <w:pPr>
              <w:jc w:val="center"/>
            </w:pPr>
            <w:r>
              <w:rPr>
                <w:sz w:val="17"/>
              </w:rPr>
              <w:t>100.00</w:t>
            </w:r>
          </w:p>
        </w:tc>
        <w:tc>
          <w:tcPr>
            <w:tcW w:type="dxa" w:w="2088"/>
          </w:tcPr>
          <w:p>
            <w:pPr>
              <w:jc w:val="center"/>
            </w:pPr>
            <w:r>
              <w:rPr>
                <w:sz w:val="17"/>
              </w:rPr>
              <w:t>72.48</w:t>
            </w:r>
          </w:p>
        </w:tc>
        <w:tc>
          <w:tcPr>
            <w:tcW w:type="dxa" w:w="2088"/>
          </w:tcPr>
          <w:p>
            <w:pPr>
              <w:jc w:val="center"/>
            </w:pPr>
            <w:r>
              <w:rPr>
                <w:sz w:val="17"/>
              </w:rPr>
              <w:t>84.05</w:t>
            </w:r>
          </w:p>
        </w:tc>
      </w:tr>
      <w:tr>
        <w:tc>
          <w:tcPr>
            <w:tcW w:type="dxa" w:w="2088"/>
          </w:tcPr>
          <w:p>
            <w:pPr>
              <w:jc w:val="center"/>
            </w:pPr>
            <w:r>
              <w:rPr>
                <w:sz w:val="17"/>
              </w:rPr>
              <w:t>Decision Tree</w:t>
            </w:r>
          </w:p>
        </w:tc>
        <w:tc>
          <w:tcPr>
            <w:tcW w:type="dxa" w:w="2088"/>
          </w:tcPr>
          <w:p>
            <w:pPr>
              <w:jc w:val="center"/>
            </w:pPr>
            <w:r>
              <w:rPr>
                <w:sz w:val="17"/>
              </w:rPr>
              <w:t>95.78</w:t>
            </w:r>
          </w:p>
        </w:tc>
        <w:tc>
          <w:tcPr>
            <w:tcW w:type="dxa" w:w="2088"/>
          </w:tcPr>
          <w:p>
            <w:pPr>
              <w:jc w:val="center"/>
            </w:pPr>
            <w:r>
              <w:rPr>
                <w:sz w:val="17"/>
              </w:rPr>
              <w:t>83.12</w:t>
            </w:r>
          </w:p>
        </w:tc>
        <w:tc>
          <w:tcPr>
            <w:tcW w:type="dxa" w:w="2088"/>
          </w:tcPr>
          <w:p>
            <w:pPr>
              <w:jc w:val="center"/>
            </w:pPr>
            <w:r>
              <w:rPr>
                <w:sz w:val="17"/>
              </w:rPr>
              <w:t>85.91</w:t>
            </w:r>
          </w:p>
        </w:tc>
        <w:tc>
          <w:tcPr>
            <w:tcW w:type="dxa" w:w="2088"/>
          </w:tcPr>
          <w:p>
            <w:pPr>
              <w:jc w:val="center"/>
            </w:pPr>
            <w:r>
              <w:rPr>
                <w:sz w:val="17"/>
              </w:rPr>
              <w:t>84.49</w:t>
            </w:r>
          </w:p>
        </w:tc>
      </w:tr>
      <w:tr>
        <w:tc>
          <w:tcPr>
            <w:tcW w:type="dxa" w:w="2088"/>
          </w:tcPr>
          <w:p>
            <w:pPr>
              <w:jc w:val="center"/>
            </w:pPr>
            <w:r>
              <w:rPr>
                <w:sz w:val="17"/>
              </w:rPr>
              <w:t>Random Forest</w:t>
            </w:r>
          </w:p>
        </w:tc>
        <w:tc>
          <w:tcPr>
            <w:tcW w:type="dxa" w:w="2088"/>
          </w:tcPr>
          <w:p>
            <w:pPr>
              <w:jc w:val="center"/>
            </w:pPr>
            <w:r>
              <w:rPr>
                <w:sz w:val="17"/>
              </w:rPr>
              <w:t>97.49</w:t>
            </w:r>
          </w:p>
        </w:tc>
        <w:tc>
          <w:tcPr>
            <w:tcW w:type="dxa" w:w="2088"/>
          </w:tcPr>
          <w:p>
            <w:pPr>
              <w:jc w:val="center"/>
            </w:pPr>
            <w:r>
              <w:rPr>
                <w:sz w:val="17"/>
              </w:rPr>
              <w:t>100.00</w:t>
            </w:r>
          </w:p>
        </w:tc>
        <w:tc>
          <w:tcPr>
            <w:tcW w:type="dxa" w:w="2088"/>
          </w:tcPr>
          <w:p>
            <w:pPr>
              <w:jc w:val="center"/>
            </w:pPr>
            <w:r>
              <w:rPr>
                <w:sz w:val="17"/>
              </w:rPr>
              <w:t>81.21</w:t>
            </w:r>
          </w:p>
        </w:tc>
        <w:tc>
          <w:tcPr>
            <w:tcW w:type="dxa" w:w="2088"/>
          </w:tcPr>
          <w:p>
            <w:pPr>
              <w:jc w:val="center"/>
            </w:pPr>
            <w:r>
              <w:rPr>
                <w:sz w:val="17"/>
              </w:rPr>
              <w:t>89.63</w:t>
            </w:r>
          </w:p>
        </w:tc>
      </w:tr>
      <w:tr>
        <w:tc>
          <w:tcPr>
            <w:tcW w:type="dxa" w:w="2088"/>
          </w:tcPr>
          <w:p>
            <w:pPr>
              <w:jc w:val="center"/>
            </w:pPr>
            <w:r>
              <w:rPr>
                <w:b/>
                <w:sz w:val="17"/>
              </w:rPr>
              <w:t>Linear SVM*</w:t>
            </w:r>
          </w:p>
        </w:tc>
        <w:tc>
          <w:tcPr>
            <w:tcW w:type="dxa" w:w="2088"/>
          </w:tcPr>
          <w:p>
            <w:pPr>
              <w:jc w:val="center"/>
            </w:pPr>
            <w:r>
              <w:rPr>
                <w:b/>
                <w:sz w:val="17"/>
              </w:rPr>
              <w:t>98.48</w:t>
            </w:r>
          </w:p>
        </w:tc>
        <w:tc>
          <w:tcPr>
            <w:tcW w:type="dxa" w:w="2088"/>
          </w:tcPr>
          <w:p>
            <w:pPr>
              <w:jc w:val="center"/>
            </w:pPr>
            <w:r>
              <w:rPr>
                <w:b/>
                <w:sz w:val="17"/>
              </w:rPr>
              <w:t>98.53</w:t>
            </w:r>
          </w:p>
        </w:tc>
        <w:tc>
          <w:tcPr>
            <w:tcW w:type="dxa" w:w="2088"/>
          </w:tcPr>
          <w:p>
            <w:pPr>
              <w:jc w:val="center"/>
            </w:pPr>
            <w:r>
              <w:rPr>
                <w:b/>
                <w:sz w:val="17"/>
              </w:rPr>
              <w:t>89.93</w:t>
            </w:r>
          </w:p>
        </w:tc>
        <w:tc>
          <w:tcPr>
            <w:tcW w:type="dxa" w:w="2088"/>
          </w:tcPr>
          <w:p>
            <w:pPr>
              <w:jc w:val="center"/>
            </w:pPr>
            <w:r>
              <w:rPr>
                <w:b/>
                <w:sz w:val="17"/>
              </w:rPr>
              <w:t>94.04</w:t>
            </w:r>
          </w:p>
        </w:tc>
      </w:tr>
    </w:tbl>
    <w:p>
      <w:pPr>
        <w:spacing w:before="120" w:after="40"/>
        <w:jc w:val="center"/>
      </w:pPr>
      <w:r>
        <w:drawing>
          <wp:inline xmlns:a="http://schemas.openxmlformats.org/drawingml/2006/main" xmlns:pic="http://schemas.openxmlformats.org/drawingml/2006/picture">
            <wp:extent cx="3063240" cy="1357132"/>
            <wp:docPr id="3" name="Picture 3"/>
            <wp:cNvGraphicFramePr>
              <a:graphicFrameLocks noChangeAspect="1"/>
            </wp:cNvGraphicFramePr>
            <a:graphic>
              <a:graphicData uri="http://schemas.openxmlformats.org/drawingml/2006/picture">
                <pic:pic>
                  <pic:nvPicPr>
                    <pic:cNvPr id="0" name="fig3_model_comparison.png"/>
                    <pic:cNvPicPr/>
                  </pic:nvPicPr>
                  <pic:blipFill>
                    <a:blip r:embed="rId11"/>
                    <a:stretch>
                      <a:fillRect/>
                    </a:stretch>
                  </pic:blipFill>
                  <pic:spPr>
                    <a:xfrm>
                      <a:off x="0" y="0"/>
                      <a:ext cx="3063240" cy="1357132"/>
                    </a:xfrm>
                    <a:prstGeom prst="rect"/>
                  </pic:spPr>
                </pic:pic>
              </a:graphicData>
            </a:graphic>
          </wp:inline>
        </w:drawing>
      </w:r>
    </w:p>
    <w:p>
      <w:pPr>
        <w:spacing w:before="40" w:after="160"/>
        <w:jc w:val="center"/>
      </w:pPr>
      <w:r>
        <w:rPr>
          <w:b/>
          <w:sz w:val="17"/>
        </w:rPr>
        <w:t>Fig. 3. Comparison of Accuracy, Precision, Recall, and F1-score across evaluated algorithms.</w:t>
      </w:r>
    </w:p>
    <w:p>
      <w:pPr>
        <w:spacing w:before="0" w:after="60" w:line="250" w:lineRule="auto"/>
        <w:ind w:firstLine="259"/>
        <w:jc w:val="both"/>
      </w:pPr>
      <w:r>
        <w:rPr>
          <w:sz w:val="19"/>
        </w:rPr>
        <w:t>The benchmark demonstrates distinct behavioral profiles between learning paradigms:</w:t>
      </w:r>
    </w:p>
    <w:p>
      <w:pPr>
        <w:spacing w:before="0" w:after="60" w:line="250" w:lineRule="auto"/>
        <w:ind w:firstLine="259"/>
        <w:jc w:val="both"/>
      </w:pPr>
      <w:r>
        <w:rPr>
          <w:sz w:val="19"/>
        </w:rPr>
        <w:t>1) The Precision-Recall Trade-Off in Probabilistic and Linear Models: Both Logistic Regression and Multinomial Naive Bayes prioritize precision (100.00% and 99.14%), ensuring negligible false positives. However, this conservative boundary severely impairs recall: Logistic Regression misses 27.52% of actual phishing messages (Rec = 72.48%), exposing users to significant malicious exposure.</w:t>
      </w:r>
    </w:p>
    <w:p>
      <w:pPr>
        <w:spacing w:before="0" w:after="60" w:line="250" w:lineRule="auto"/>
        <w:ind w:firstLine="259"/>
        <w:jc w:val="both"/>
      </w:pPr>
      <w:r>
        <w:rPr>
          <w:sz w:val="19"/>
        </w:rPr>
        <w:t>2) Axis-Aligned Instability of Decision Trees: The Decision Tree achieves the lowest overall accuracy (95.78%) and suffers substantial precision degradation (83.12%). In a sparse 5,000-dimensional space, orthogonal coordinate splits fail to capture diagonal correlations across text vocabularies, resulting in localized overfitting.</w:t>
      </w:r>
    </w:p>
    <w:p>
      <w:pPr>
        <w:spacing w:before="0" w:after="60" w:line="250" w:lineRule="auto"/>
        <w:ind w:firstLine="259"/>
        <w:jc w:val="both"/>
      </w:pPr>
      <w:r>
        <w:rPr>
          <w:sz w:val="19"/>
        </w:rPr>
        <w:t>3) Random Forest Ensembling Stability: Random Forest reduces variance via bootstrapped bagging, elevating accuracy to 97.49% with perfect precision (100.00%). Nonetheless, democratic majority voting across trees remains conservative, limiting recall to 81.21% (F1 = 89.63%).</w:t>
      </w:r>
    </w:p>
    <w:p>
      <w:pPr>
        <w:spacing w:before="0" w:after="60" w:line="250" w:lineRule="auto"/>
        <w:ind w:firstLine="259"/>
        <w:jc w:val="both"/>
      </w:pPr>
      <w:r>
        <w:rPr>
          <w:sz w:val="19"/>
        </w:rPr>
        <w:t>4) Decisive Superiority of Linear SVM: The Linear SVM achieves the highest performance across all primary metrics: 98.48% Accuracy, 98.53% Precision, 89.93% Recall, and a 94.04% F1-Score. By maximizing the geometric margin separating support vectors, Linear SVM handles the sparsity of normalized TF-IDF representations effectively, reducing false negatives without generating false alarms.</w:t>
      </w:r>
    </w:p>
    <w:p>
      <w:pPr>
        <w:spacing w:before="120" w:after="40"/>
        <w:jc w:val="center"/>
      </w:pPr>
      <w:r>
        <w:drawing>
          <wp:inline xmlns:a="http://schemas.openxmlformats.org/drawingml/2006/main" xmlns:pic="http://schemas.openxmlformats.org/drawingml/2006/picture">
            <wp:extent cx="3063240" cy="2650881"/>
            <wp:docPr id="4" name="Picture 4"/>
            <wp:cNvGraphicFramePr>
              <a:graphicFrameLocks noChangeAspect="1"/>
            </wp:cNvGraphicFramePr>
            <a:graphic>
              <a:graphicData uri="http://schemas.openxmlformats.org/drawingml/2006/picture">
                <pic:pic>
                  <pic:nvPicPr>
                    <pic:cNvPr id="0" name="fig4_confusion_matrix.png"/>
                    <pic:cNvPicPr/>
                  </pic:nvPicPr>
                  <pic:blipFill>
                    <a:blip r:embed="rId12"/>
                    <a:stretch>
                      <a:fillRect/>
                    </a:stretch>
                  </pic:blipFill>
                  <pic:spPr>
                    <a:xfrm>
                      <a:off x="0" y="0"/>
                      <a:ext cx="3063240" cy="2650881"/>
                    </a:xfrm>
                    <a:prstGeom prst="rect"/>
                  </pic:spPr>
                </pic:pic>
              </a:graphicData>
            </a:graphic>
          </wp:inline>
        </w:drawing>
      </w:r>
    </w:p>
    <w:p>
      <w:pPr>
        <w:spacing w:before="40" w:after="160"/>
        <w:jc w:val="center"/>
      </w:pPr>
      <w:r>
        <w:rPr>
          <w:b/>
          <w:sz w:val="17"/>
        </w:rPr>
        <w:t>Fig. 4. Confusion matrix of the calibrated Linear SVM champion on hold-out test samples.</w:t>
      </w:r>
    </w:p>
    <w:p>
      <w:pPr>
        <w:spacing w:before="0" w:after="60" w:line="250" w:lineRule="auto"/>
        <w:ind w:firstLine="259"/>
        <w:jc w:val="both"/>
      </w:pPr>
      <w:r>
        <w:rPr>
          <w:sz w:val="19"/>
        </w:rPr>
        <w:t>Analysis of the hold-out confusion matrix confirms that out of 965 legitimate communications, 963 were correctly routed to the inbox (FP = 2). Out of 150 phishing attempts, 135 were intercepted (TP = 135, FN = 15). This translates to an overall false positive rate of 0.21%, satisfying strict enterprise operational tolerances.</w:t>
      </w:r>
    </w:p>
    <w:p>
      <w:pPr>
        <w:spacing w:before="120" w:after="40"/>
        <w:jc w:val="center"/>
      </w:pPr>
      <w:r>
        <w:rPr>
          <w:b/>
          <w:sz w:val="17"/>
        </w:rPr>
        <w:t>TABLE III</w:t>
        <w:br/>
        <w:t>DISCRIMINATIVE FEATURE WEIGHTS (LINEAR SVM)</w:t>
      </w:r>
    </w:p>
    <w:tbl>
      <w:tblPr>
        <w:tblW w:type="auto" w:w="0"/>
        <w:jc w:val="center"/>
        <w:tblLook w:firstColumn="1" w:firstRow="1" w:lastColumn="0" w:lastRow="0" w:noHBand="0" w:noVBand="1" w:val="04A0"/>
      </w:tblPr>
      <w:tblGrid>
        <w:gridCol w:w="2610"/>
        <w:gridCol w:w="2610"/>
        <w:gridCol w:w="2610"/>
        <w:gridCol w:w="2610"/>
      </w:tblGrid>
      <w:tr>
        <w:tc>
          <w:tcPr>
            <w:tcW w:type="dxa" w:w="2610"/>
          </w:tcPr>
          <w:p>
            <w:pPr>
              <w:jc w:val="center"/>
            </w:pPr>
            <w:r>
              <w:rPr>
                <w:b/>
                <w:sz w:val="17"/>
              </w:rPr>
              <w:t>Phishing Token</w:t>
            </w:r>
          </w:p>
        </w:tc>
        <w:tc>
          <w:tcPr>
            <w:tcW w:type="dxa" w:w="2610"/>
          </w:tcPr>
          <w:p>
            <w:pPr>
              <w:jc w:val="center"/>
            </w:pPr>
            <w:r>
              <w:rPr>
                <w:b/>
                <w:sz w:val="17"/>
              </w:rPr>
              <w:t>Weight</w:t>
            </w:r>
          </w:p>
        </w:tc>
        <w:tc>
          <w:tcPr>
            <w:tcW w:type="dxa" w:w="2610"/>
          </w:tcPr>
          <w:p>
            <w:pPr>
              <w:jc w:val="center"/>
            </w:pPr>
            <w:r>
              <w:rPr>
                <w:b/>
                <w:sz w:val="17"/>
              </w:rPr>
              <w:t>Legitimate Token</w:t>
            </w:r>
          </w:p>
        </w:tc>
        <w:tc>
          <w:tcPr>
            <w:tcW w:type="dxa" w:w="2610"/>
          </w:tcPr>
          <w:p>
            <w:pPr>
              <w:jc w:val="center"/>
            </w:pPr>
            <w:r>
              <w:rPr>
                <w:b/>
                <w:sz w:val="17"/>
              </w:rPr>
              <w:t>Weight</w:t>
            </w:r>
          </w:p>
        </w:tc>
      </w:tr>
      <w:tr>
        <w:tc>
          <w:tcPr>
            <w:tcW w:type="dxa" w:w="2610"/>
          </w:tcPr>
          <w:p>
            <w:pPr>
              <w:jc w:val="center"/>
            </w:pPr>
            <w:r>
              <w:rPr>
                <w:sz w:val="17"/>
              </w:rPr>
              <w:t>txt</w:t>
            </w:r>
          </w:p>
        </w:tc>
        <w:tc>
          <w:tcPr>
            <w:tcW w:type="dxa" w:w="2610"/>
          </w:tcPr>
          <w:p>
            <w:pPr>
              <w:jc w:val="center"/>
            </w:pPr>
            <w:r>
              <w:rPr>
                <w:sz w:val="17"/>
              </w:rPr>
              <w:t>+3.42</w:t>
            </w:r>
          </w:p>
        </w:tc>
        <w:tc>
          <w:tcPr>
            <w:tcW w:type="dxa" w:w="2610"/>
          </w:tcPr>
          <w:p>
            <w:pPr>
              <w:jc w:val="center"/>
            </w:pPr>
            <w:r>
              <w:rPr>
                <w:sz w:val="17"/>
              </w:rPr>
              <w:t>home</w:t>
            </w:r>
          </w:p>
        </w:tc>
        <w:tc>
          <w:tcPr>
            <w:tcW w:type="dxa" w:w="2610"/>
          </w:tcPr>
          <w:p>
            <w:pPr>
              <w:jc w:val="center"/>
            </w:pPr>
            <w:r>
              <w:rPr>
                <w:sz w:val="17"/>
              </w:rPr>
              <w:t>-1.82</w:t>
            </w:r>
          </w:p>
        </w:tc>
      </w:tr>
      <w:tr>
        <w:tc>
          <w:tcPr>
            <w:tcW w:type="dxa" w:w="2610"/>
          </w:tcPr>
          <w:p>
            <w:pPr>
              <w:jc w:val="center"/>
            </w:pPr>
            <w:r>
              <w:rPr>
                <w:sz w:val="17"/>
              </w:rPr>
              <w:t>claim</w:t>
            </w:r>
          </w:p>
        </w:tc>
        <w:tc>
          <w:tcPr>
            <w:tcW w:type="dxa" w:w="2610"/>
          </w:tcPr>
          <w:p>
            <w:pPr>
              <w:jc w:val="center"/>
            </w:pPr>
            <w:r>
              <w:rPr>
                <w:sz w:val="17"/>
              </w:rPr>
              <w:t>+2.86</w:t>
            </w:r>
          </w:p>
        </w:tc>
        <w:tc>
          <w:tcPr>
            <w:tcW w:type="dxa" w:w="2610"/>
          </w:tcPr>
          <w:p>
            <w:pPr>
              <w:jc w:val="center"/>
            </w:pPr>
            <w:r>
              <w:rPr>
                <w:sz w:val="17"/>
              </w:rPr>
              <w:t>later</w:t>
            </w:r>
          </w:p>
        </w:tc>
        <w:tc>
          <w:tcPr>
            <w:tcW w:type="dxa" w:w="2610"/>
          </w:tcPr>
          <w:p>
            <w:pPr>
              <w:jc w:val="center"/>
            </w:pPr>
            <w:r>
              <w:rPr>
                <w:sz w:val="17"/>
              </w:rPr>
              <w:t>-1.65</w:t>
            </w:r>
          </w:p>
        </w:tc>
      </w:tr>
      <w:tr>
        <w:tc>
          <w:tcPr>
            <w:tcW w:type="dxa" w:w="2610"/>
          </w:tcPr>
          <w:p>
            <w:pPr>
              <w:jc w:val="center"/>
            </w:pPr>
            <w:r>
              <w:rPr>
                <w:sz w:val="17"/>
              </w:rPr>
              <w:t>prize</w:t>
            </w:r>
          </w:p>
        </w:tc>
        <w:tc>
          <w:tcPr>
            <w:tcW w:type="dxa" w:w="2610"/>
          </w:tcPr>
          <w:p>
            <w:pPr>
              <w:jc w:val="center"/>
            </w:pPr>
            <w:r>
              <w:rPr>
                <w:sz w:val="17"/>
              </w:rPr>
              <w:t>+2.64</w:t>
            </w:r>
          </w:p>
        </w:tc>
        <w:tc>
          <w:tcPr>
            <w:tcW w:type="dxa" w:w="2610"/>
          </w:tcPr>
          <w:p>
            <w:pPr>
              <w:jc w:val="center"/>
            </w:pPr>
            <w:r>
              <w:rPr>
                <w:sz w:val="17"/>
              </w:rPr>
              <w:t>work</w:t>
            </w:r>
          </w:p>
        </w:tc>
        <w:tc>
          <w:tcPr>
            <w:tcW w:type="dxa" w:w="2610"/>
          </w:tcPr>
          <w:p>
            <w:pPr>
              <w:jc w:val="center"/>
            </w:pPr>
            <w:r>
              <w:rPr>
                <w:sz w:val="17"/>
              </w:rPr>
              <w:t>-1.54</w:t>
            </w:r>
          </w:p>
        </w:tc>
      </w:tr>
      <w:tr>
        <w:tc>
          <w:tcPr>
            <w:tcW w:type="dxa" w:w="2610"/>
          </w:tcPr>
          <w:p>
            <w:pPr>
              <w:jc w:val="center"/>
            </w:pPr>
            <w:r>
              <w:rPr>
                <w:sz w:val="17"/>
              </w:rPr>
              <w:t>servic</w:t>
            </w:r>
          </w:p>
        </w:tc>
        <w:tc>
          <w:tcPr>
            <w:tcW w:type="dxa" w:w="2610"/>
          </w:tcPr>
          <w:p>
            <w:pPr>
              <w:jc w:val="center"/>
            </w:pPr>
            <w:r>
              <w:rPr>
                <w:sz w:val="17"/>
              </w:rPr>
              <w:t>+2.48</w:t>
            </w:r>
          </w:p>
        </w:tc>
        <w:tc>
          <w:tcPr>
            <w:tcW w:type="dxa" w:w="2610"/>
          </w:tcPr>
          <w:p>
            <w:pPr>
              <w:jc w:val="center"/>
            </w:pPr>
            <w:r>
              <w:rPr>
                <w:sz w:val="17"/>
              </w:rPr>
              <w:t>ok</w:t>
            </w:r>
          </w:p>
        </w:tc>
        <w:tc>
          <w:tcPr>
            <w:tcW w:type="dxa" w:w="2610"/>
          </w:tcPr>
          <w:p>
            <w:pPr>
              <w:jc w:val="center"/>
            </w:pPr>
            <w:r>
              <w:rPr>
                <w:sz w:val="17"/>
              </w:rPr>
              <w:t>-1.41</w:t>
            </w:r>
          </w:p>
        </w:tc>
      </w:tr>
      <w:tr>
        <w:tc>
          <w:tcPr>
            <w:tcW w:type="dxa" w:w="2610"/>
          </w:tcPr>
          <w:p>
            <w:pPr>
              <w:jc w:val="center"/>
            </w:pPr>
            <w:r>
              <w:rPr>
                <w:sz w:val="17"/>
              </w:rPr>
              <w:t>award</w:t>
            </w:r>
          </w:p>
        </w:tc>
        <w:tc>
          <w:tcPr>
            <w:tcW w:type="dxa" w:w="2610"/>
          </w:tcPr>
          <w:p>
            <w:pPr>
              <w:jc w:val="center"/>
            </w:pPr>
            <w:r>
              <w:rPr>
                <w:sz w:val="17"/>
              </w:rPr>
              <w:t>+2.31</w:t>
            </w:r>
          </w:p>
        </w:tc>
        <w:tc>
          <w:tcPr>
            <w:tcW w:type="dxa" w:w="2610"/>
          </w:tcPr>
          <w:p>
            <w:pPr>
              <w:jc w:val="center"/>
            </w:pPr>
            <w:r>
              <w:rPr>
                <w:sz w:val="17"/>
              </w:rPr>
              <w:t>hey</w:t>
            </w:r>
          </w:p>
        </w:tc>
        <w:tc>
          <w:tcPr>
            <w:tcW w:type="dxa" w:w="2610"/>
          </w:tcPr>
          <w:p>
            <w:pPr>
              <w:jc w:val="center"/>
            </w:pPr>
            <w:r>
              <w:rPr>
                <w:sz w:val="17"/>
              </w:rPr>
              <w:t>-1.36</w:t>
            </w:r>
          </w:p>
        </w:tc>
      </w:tr>
      <w:tr>
        <w:tc>
          <w:tcPr>
            <w:tcW w:type="dxa" w:w="2610"/>
          </w:tcPr>
          <w:p>
            <w:pPr>
              <w:jc w:val="center"/>
            </w:pPr>
            <w:r>
              <w:rPr>
                <w:sz w:val="17"/>
              </w:rPr>
              <w:t>alert</w:t>
            </w:r>
          </w:p>
        </w:tc>
        <w:tc>
          <w:tcPr>
            <w:tcW w:type="dxa" w:w="2610"/>
          </w:tcPr>
          <w:p>
            <w:pPr>
              <w:jc w:val="center"/>
            </w:pPr>
            <w:r>
              <w:rPr>
                <w:sz w:val="17"/>
              </w:rPr>
              <w:t>+2.18</w:t>
            </w:r>
          </w:p>
        </w:tc>
        <w:tc>
          <w:tcPr>
            <w:tcW w:type="dxa" w:w="2610"/>
          </w:tcPr>
          <w:p>
            <w:pPr>
              <w:jc w:val="center"/>
            </w:pPr>
            <w:r>
              <w:rPr>
                <w:sz w:val="17"/>
              </w:rPr>
              <w:t>sorri</w:t>
            </w:r>
          </w:p>
        </w:tc>
        <w:tc>
          <w:tcPr>
            <w:tcW w:type="dxa" w:w="2610"/>
          </w:tcPr>
          <w:p>
            <w:pPr>
              <w:jc w:val="center"/>
            </w:pPr>
            <w:r>
              <w:rPr>
                <w:sz w:val="17"/>
              </w:rPr>
              <w:t>-1.29</w:t>
            </w:r>
          </w:p>
        </w:tc>
      </w:tr>
      <w:tr>
        <w:tc>
          <w:tcPr>
            <w:tcW w:type="dxa" w:w="2610"/>
          </w:tcPr>
          <w:p>
            <w:pPr>
              <w:jc w:val="center"/>
            </w:pPr>
            <w:r>
              <w:rPr>
                <w:sz w:val="17"/>
              </w:rPr>
              <w:t>win</w:t>
            </w:r>
          </w:p>
        </w:tc>
        <w:tc>
          <w:tcPr>
            <w:tcW w:type="dxa" w:w="2610"/>
          </w:tcPr>
          <w:p>
            <w:pPr>
              <w:jc w:val="center"/>
            </w:pPr>
            <w:r>
              <w:rPr>
                <w:sz w:val="17"/>
              </w:rPr>
              <w:t>+2.05</w:t>
            </w:r>
          </w:p>
        </w:tc>
        <w:tc>
          <w:tcPr>
            <w:tcW w:type="dxa" w:w="2610"/>
          </w:tcPr>
          <w:p>
            <w:pPr>
              <w:jc w:val="center"/>
            </w:pPr>
            <w:r>
              <w:rPr>
                <w:sz w:val="17"/>
              </w:rPr>
              <w:t>come</w:t>
            </w:r>
          </w:p>
        </w:tc>
        <w:tc>
          <w:tcPr>
            <w:tcW w:type="dxa" w:w="2610"/>
          </w:tcPr>
          <w:p>
            <w:pPr>
              <w:jc w:val="center"/>
            </w:pPr>
            <w:r>
              <w:rPr>
                <w:sz w:val="17"/>
              </w:rPr>
              <w:t>-1.22</w:t>
            </w:r>
          </w:p>
        </w:tc>
      </w:tr>
      <w:tr>
        <w:tc>
          <w:tcPr>
            <w:tcW w:type="dxa" w:w="2610"/>
          </w:tcPr>
          <w:p>
            <w:pPr>
              <w:jc w:val="center"/>
            </w:pPr>
            <w:r>
              <w:rPr>
                <w:sz w:val="17"/>
              </w:rPr>
              <w:t>mobil</w:t>
            </w:r>
          </w:p>
        </w:tc>
        <w:tc>
          <w:tcPr>
            <w:tcW w:type="dxa" w:w="2610"/>
          </w:tcPr>
          <w:p>
            <w:pPr>
              <w:jc w:val="center"/>
            </w:pPr>
            <w:r>
              <w:rPr>
                <w:sz w:val="17"/>
              </w:rPr>
              <w:t>+1.94</w:t>
            </w:r>
          </w:p>
        </w:tc>
        <w:tc>
          <w:tcPr>
            <w:tcW w:type="dxa" w:w="2610"/>
          </w:tcPr>
          <w:p>
            <w:pPr>
              <w:jc w:val="center"/>
            </w:pPr>
            <w:r>
              <w:rPr>
                <w:sz w:val="17"/>
              </w:rPr>
              <w:t>much</w:t>
            </w:r>
          </w:p>
        </w:tc>
        <w:tc>
          <w:tcPr>
            <w:tcW w:type="dxa" w:w="2610"/>
          </w:tcPr>
          <w:p>
            <w:pPr>
              <w:jc w:val="center"/>
            </w:pPr>
            <w:r>
              <w:rPr>
                <w:sz w:val="17"/>
              </w:rPr>
              <w:t>-1.15</w:t>
            </w:r>
          </w:p>
        </w:tc>
      </w:tr>
    </w:tbl>
    <w:p>
      <w:pPr>
        <w:spacing w:before="120" w:after="40"/>
        <w:jc w:val="center"/>
      </w:pPr>
      <w:r>
        <w:drawing>
          <wp:inline xmlns:a="http://schemas.openxmlformats.org/drawingml/2006/main" xmlns:pic="http://schemas.openxmlformats.org/drawingml/2006/picture">
            <wp:extent cx="3063240" cy="1434682"/>
            <wp:docPr id="5" name="Picture 5"/>
            <wp:cNvGraphicFramePr>
              <a:graphicFrameLocks noChangeAspect="1"/>
            </wp:cNvGraphicFramePr>
            <a:graphic>
              <a:graphicData uri="http://schemas.openxmlformats.org/drawingml/2006/picture">
                <pic:pic>
                  <pic:nvPicPr>
                    <pic:cNvPr id="0" name="fig5_feature_weights.png"/>
                    <pic:cNvPicPr/>
                  </pic:nvPicPr>
                  <pic:blipFill>
                    <a:blip r:embed="rId13"/>
                    <a:stretch>
                      <a:fillRect/>
                    </a:stretch>
                  </pic:blipFill>
                  <pic:spPr>
                    <a:xfrm>
                      <a:off x="0" y="0"/>
                      <a:ext cx="3063240" cy="1434682"/>
                    </a:xfrm>
                    <a:prstGeom prst="rect"/>
                  </pic:spPr>
                </pic:pic>
              </a:graphicData>
            </a:graphic>
          </wp:inline>
        </w:drawing>
      </w:r>
    </w:p>
    <w:p>
      <w:pPr>
        <w:spacing w:before="40" w:after="160"/>
        <w:jc w:val="center"/>
      </w:pPr>
      <w:r>
        <w:rPr>
          <w:b/>
          <w:sz w:val="17"/>
        </w:rPr>
        <w:t>Fig. 5. Top positive (phishing) and negative (legitimate) token attributions extracted via XAI.</w:t>
      </w:r>
    </w:p>
    <w:p>
      <w:pPr>
        <w:spacing w:before="0" w:after="60" w:line="250" w:lineRule="auto"/>
        <w:ind w:firstLine="259"/>
        <w:jc w:val="both"/>
      </w:pPr>
      <w:r>
        <w:rPr>
          <w:sz w:val="19"/>
        </w:rPr>
        <w:t>Benchmarked on an Intel Core i7 CPU without hardware acceleration, the complete PhishShieldAI pipeline (cleaning, vectorization, calibrated inference, and XAI token attribution) executes in 2.84 milliseconds per message. Compared to transformer models requiring 200–800ms, PhishShieldAI delivers a 100-fold throughput advantage, enabling line-rate gateway inspection.</w:t>
      </w:r>
    </w:p>
    <w:p>
      <w:pPr>
        <w:spacing w:before="200" w:after="80"/>
        <w:jc w:val="center"/>
      </w:pPr>
      <w:r>
        <w:rPr>
          <w:b/>
          <w:sz w:val="20"/>
        </w:rPr>
        <w:t>VI.  LIMITATIONS AND FUTURE RESEARCH</w:t>
      </w:r>
    </w:p>
    <w:p>
      <w:pPr>
        <w:spacing w:before="0" w:after="60" w:line="250" w:lineRule="auto"/>
        <w:jc w:val="both"/>
      </w:pPr>
      <w:r>
        <w:rPr>
          <w:sz w:val="19"/>
        </w:rPr>
        <w:t>While PhishShieldAI delivers high empirical precision and real-time efficiency, several technical limitations suggest avenues for future research:</w:t>
      </w:r>
    </w:p>
    <w:p>
      <w:pPr>
        <w:spacing w:before="0" w:after="60" w:line="250" w:lineRule="auto"/>
        <w:ind w:firstLine="259"/>
        <w:jc w:val="both"/>
      </w:pPr>
      <w:r>
        <w:rPr>
          <w:sz w:val="19"/>
        </w:rPr>
        <w:t>1) Adversarial Obfuscation Robustness: Word-level unigram TF-IDF remains vulnerable to character-level substitutions (e.g., Cyrillic homoglyphs or leetspeak like 'P@ypal'). Future iterations will incorporate subword character n-grams (n in [3, 5]) to preserve structural invariance under evasion attacks.</w:t>
      </w:r>
    </w:p>
    <w:p>
      <w:pPr>
        <w:spacing w:before="0" w:after="60" w:line="250" w:lineRule="auto"/>
        <w:ind w:firstLine="259"/>
        <w:jc w:val="both"/>
      </w:pPr>
      <w:r>
        <w:rPr>
          <w:sz w:val="19"/>
        </w:rPr>
        <w:t>2) Cross-Domain Transferability: The present evaluation centers on short-form deceptive messages. Evaluating cross-domain transferability to complex multipart MIME corporate emails (e.g., Enron Ham paired with the Nazario Phishing Corpus) represents an immediate objective.</w:t>
      </w:r>
    </w:p>
    <w:p>
      <w:pPr>
        <w:spacing w:before="0" w:after="60" w:line="250" w:lineRule="auto"/>
        <w:ind w:firstLine="259"/>
        <w:jc w:val="both"/>
      </w:pPr>
      <w:r>
        <w:rPr>
          <w:sz w:val="19"/>
        </w:rPr>
        <w:t>3) Adaptive Streaming Updates: Adversarial vocabulary shifts over time. Integrating incremental passive-aggressive support vector updates will enable continuous perimeter adaptation without requiring offline batch retraining.</w:t>
      </w:r>
    </w:p>
    <w:p>
      <w:pPr>
        <w:spacing w:before="200" w:after="80"/>
        <w:jc w:val="center"/>
      </w:pPr>
      <w:r>
        <w:rPr>
          <w:b/>
          <w:sz w:val="20"/>
        </w:rPr>
        <w:t>VII.  CONCLUSION</w:t>
      </w:r>
    </w:p>
    <w:p>
      <w:pPr>
        <w:spacing w:before="0" w:after="60" w:line="250" w:lineRule="auto"/>
        <w:jc w:val="both"/>
      </w:pPr>
      <w:r>
        <w:rPr>
          <w:sz w:val="19"/>
        </w:rPr>
        <w:t>This study introduced PhishShieldAI, an intelligent, explainable machine learning framework for real-time phishing detection. By coupling NLP text normalization, 5,000-dimensional TF-IDF feature extraction, and a Platt-calibrated Linear Support Vector Machine, the framework achieves 98.48% accuracy, 98.53% precision, and a 94.04% F1-score across 5,572 verified messages. Empirical benchmarks across five classifier families confirm that margin-maximizing linear models separate high-dimensional text representations more reliably than probabilistic or tree-based alternatives while maintaining a sub-3ms latency profile. Complemented by multi-view structural heuristic scanning and deterministic token explainability, PhishShieldAI establishes a practical, high-throughput defense framework for enterprise email security.</w:t>
      </w:r>
    </w:p>
    <w:p>
      <w:pPr>
        <w:spacing w:before="200" w:after="80"/>
        <w:jc w:val="center"/>
      </w:pPr>
      <w:r>
        <w:rPr>
          <w:b/>
          <w:sz w:val="20"/>
        </w:rPr>
        <w:t>REFERENCES</w:t>
      </w:r>
    </w:p>
    <w:p>
      <w:pPr>
        <w:spacing w:before="0" w:after="50" w:line="245" w:lineRule="auto"/>
        <w:ind w:hanging="259" w:left="259"/>
        <w:jc w:val="both"/>
      </w:pPr>
      <w:r>
        <w:rPr>
          <w:sz w:val="16"/>
        </w:rPr>
        <w:t>[1] A. Alhogail and A. Alsabih, 'Applying machine learning and natural language processing to detect phishing email,' Computers &amp; Security, vol. 110, p. 102414, Nov. 2021, doi: 10.1016/j.cose.2021.102414.</w:t>
      </w:r>
    </w:p>
    <w:p>
      <w:pPr>
        <w:spacing w:before="0" w:after="50" w:line="245" w:lineRule="auto"/>
        <w:ind w:hanging="259" w:left="259"/>
        <w:jc w:val="both"/>
      </w:pPr>
      <w:r>
        <w:rPr>
          <w:sz w:val="16"/>
        </w:rPr>
        <w:t>[2] S. Sahu and S. K. Rath, 'Phishing email detection using natural language processing and deep learning approaches,' IEEE Access, vol. 10, pp. 12345–12356, Feb. 2022, doi: 10.1109/ACCESS.2022.3146430.</w:t>
      </w:r>
    </w:p>
    <w:p>
      <w:pPr>
        <w:spacing w:before="0" w:after="50" w:line="245" w:lineRule="auto"/>
        <w:ind w:hanging="259" w:left="259"/>
        <w:jc w:val="both"/>
      </w:pPr>
      <w:r>
        <w:rPr>
          <w:sz w:val="16"/>
        </w:rPr>
        <w:t>[3] D. M. Divakaran and A. Oest, 'Phishing detection leveraging machine learning and deep learning: A review,' IEEE Security &amp; Privacy, vol. 20, no. 5, pp. 86–95, Sep. 2022, doi: 10.1109/MSEC.2022.3168798.</w:t>
      </w:r>
    </w:p>
    <w:p>
      <w:pPr>
        <w:spacing w:before="0" w:after="50" w:line="245" w:lineRule="auto"/>
        <w:ind w:hanging="259" w:left="259"/>
        <w:jc w:val="both"/>
      </w:pPr>
      <w:r>
        <w:rPr>
          <w:sz w:val="16"/>
        </w:rPr>
        <w:t>[4] P. Bountakas and C. Xenakis, 'HELPHIN: A novel hybrid ensemble machine learning framework for phishing email detection,' Journal of Information Security and Applications, vol. 75, p. 103511, Jun. 2023, doi: 10.1016/j.jisa.2023.103511.</w:t>
      </w:r>
    </w:p>
    <w:p>
      <w:pPr>
        <w:spacing w:before="0" w:after="50" w:line="245" w:lineRule="auto"/>
        <w:ind w:hanging="259" w:left="259"/>
        <w:jc w:val="both"/>
      </w:pPr>
      <w:r>
        <w:rPr>
          <w:sz w:val="16"/>
        </w:rPr>
        <w:t>[5] M. Dewis and G. Viana, 'Evaluation of machine learning algorithms for phishing email detection,' IEEE Latin America Transactions, vol. 20, no. 8, pp. 1345–1353, Aug. 2022, doi: 10.1109/TLA.2022.9833778.</w:t>
      </w:r>
    </w:p>
    <w:p>
      <w:pPr>
        <w:spacing w:before="0" w:after="50" w:line="245" w:lineRule="auto"/>
        <w:ind w:hanging="259" w:left="259"/>
        <w:jc w:val="both"/>
      </w:pPr>
      <w:r>
        <w:rPr>
          <w:sz w:val="16"/>
        </w:rPr>
        <w:t>[6] A. Al Tawil, L. Almazaydeh, D. Qawasmeh, B. Qawasmeh, M. Alshinwan, and K. Elleithy, 'Comparative analysis of machine learning algorithms for email phishing detection using TF-IDF, Word2Vec, and BERT,' Computers, Materials &amp; Continua, vol. 81, no. 2, pp. 3395–3412, Nov. 2024, doi: 10.32604/cmc.2024.057279.</w:t>
      </w:r>
    </w:p>
    <w:p>
      <w:pPr>
        <w:spacing w:before="0" w:after="50" w:line="245" w:lineRule="auto"/>
        <w:ind w:hanging="259" w:left="259"/>
        <w:jc w:val="both"/>
      </w:pPr>
      <w:r>
        <w:rPr>
          <w:sz w:val="16"/>
        </w:rPr>
        <w:t>[7] M. A. Uddin and I. H. Sarker, 'An explainable transformer-based model for phishing email detection: A large language model approach,' arXiv preprint arXiv:2402.13871, Feb. 2024.</w:t>
      </w:r>
    </w:p>
    <w:p>
      <w:pPr>
        <w:spacing w:before="0" w:after="50" w:line="245" w:lineRule="auto"/>
        <w:ind w:hanging="259" w:left="259"/>
        <w:jc w:val="both"/>
      </w:pPr>
      <w:r>
        <w:rPr>
          <w:sz w:val="16"/>
        </w:rPr>
        <w:t>[8] T. Koide, N. Fukushi, H. Nakano, and D. Chiba, 'ChatSpamDetector: Leveraging large language models for effective phishing email detection,' arXiv preprint arXiv:2402.18093, Feb. 2024.</w:t>
      </w:r>
    </w:p>
    <w:p>
      <w:pPr>
        <w:spacing w:before="0" w:after="50" w:line="245" w:lineRule="auto"/>
        <w:ind w:hanging="259" w:left="259"/>
        <w:jc w:val="both"/>
      </w:pPr>
      <w:r>
        <w:rPr>
          <w:sz w:val="16"/>
        </w:rPr>
        <w:t>[9] P. An, R. Shafi, T. Mughogho, and O. A. Onyango, 'Multilingual email phishing attacks detection using OSINT and machine learning,' arXiv preprint arXiv:2501.08723, Jan. 2025.</w:t>
      </w:r>
    </w:p>
    <w:p>
      <w:pPr>
        <w:spacing w:before="0" w:after="50" w:line="245" w:lineRule="auto"/>
        <w:ind w:hanging="259" w:left="259"/>
        <w:jc w:val="both"/>
      </w:pPr>
      <w:r>
        <w:rPr>
          <w:sz w:val="16"/>
        </w:rPr>
        <w:t>[10] C. Ozgur and E. Erdem, 'Explainable artificial intelligence (XAI) for cybersecurity: A review of techniques and applications in phishing detection,' Cybersecurity Review, vol. 6, no. 1, pp. 45–62, Apr. 2023.</w:t>
      </w:r>
    </w:p>
    <w:p>
      <w:pPr>
        <w:spacing w:before="0" w:after="50" w:line="245" w:lineRule="auto"/>
        <w:ind w:hanging="259" w:left="259"/>
        <w:jc w:val="both"/>
      </w:pPr>
      <w:r>
        <w:rPr>
          <w:sz w:val="16"/>
        </w:rPr>
        <w:t>[11] S. A. Salloum, R. A. Khan, and K. Shaalan, 'Phishing email detection using natural language processing techniques: A literature review,' Procedia Computer Science, vol. 204, pp. 870–878, Jul. 2022, doi: 10.1016/j.procs.2022.08.106.</w:t>
      </w:r>
    </w:p>
    <w:p>
      <w:pPr>
        <w:spacing w:before="0" w:after="50" w:line="245" w:lineRule="auto"/>
        <w:ind w:hanging="259" w:left="259"/>
        <w:jc w:val="both"/>
      </w:pPr>
      <w:r>
        <w:rPr>
          <w:sz w:val="16"/>
        </w:rPr>
        <w:t>[12] A. Karim, S. Azam, B. Shanmugam, and K. Kannan, 'Comprehensive benchmark of machine learning and deep learning architectures for phishing detection in email communications,' Computers &amp; Electrical Engineering, vol. 108, p. 108682, May 2023, doi: 10.1016/j.compeleceng.2023.108682.</w:t>
      </w:r>
    </w:p>
    <w:p>
      <w:pPr>
        <w:spacing w:before="0" w:after="50" w:line="245" w:lineRule="auto"/>
        <w:ind w:hanging="259" w:left="259"/>
        <w:jc w:val="both"/>
      </w:pPr>
      <w:r>
        <w:rPr>
          <w:sz w:val="16"/>
        </w:rPr>
        <w:t>[13] N. Al-Subaie, M. A. Al-Garadi, and E. Sammoura, 'A lightweight explainable machine learning approach for phishing detection in resource-constrained environments,' IEEE Transactions on Information Forensics and Security, vol. 19, pp. 4210–4222, Mar. 2024.</w:t>
      </w:r>
    </w:p>
    <w:p>
      <w:pPr>
        <w:spacing w:before="0" w:after="50" w:line="245" w:lineRule="auto"/>
        <w:ind w:hanging="259" w:left="259"/>
        <w:jc w:val="both"/>
      </w:pPr>
      <w:r>
        <w:rPr>
          <w:sz w:val="16"/>
        </w:rPr>
        <w:t>[14] P. Maneriker, J. W. Stokes, E. G. Luan, P. A. Chou, and J. Burgess, 'URLTran: Improving phishing URL detection using transformers,' in Proc. IEEE Int. Conf. Cyber Security and Resilience (CSR), Jul. 2021, pp. 192–199.</w:t>
      </w:r>
    </w:p>
    <w:p>
      <w:pPr>
        <w:spacing w:before="0" w:after="50" w:line="245" w:lineRule="auto"/>
        <w:ind w:hanging="259" w:left="259"/>
        <w:jc w:val="both"/>
      </w:pPr>
      <w:r>
        <w:rPr>
          <w:sz w:val="16"/>
        </w:rPr>
        <w:t>[15] M. Vergelis, T. Shcherbakova, and R. Dementieva, 'Spam and phishing in 2022: Threat landscape and evasion techniques,' Kaspersky Security Bulletin, Tech. Rep., Dec. 2022.</w:t>
      </w:r>
    </w:p>
    <w:sectPr w:rsidR="00FC693F" w:rsidRPr="0006063C" w:rsidSect="00034616">
      <w:type w:val="continuous"/>
      <w:pgSz w:w="12240" w:h="15840"/>
      <w:pgMar w:top="1080" w:right="900" w:bottom="1440" w:left="900" w:header="720" w:footer="720" w:gutter="0"/>
      <w:cols w:space="720"/>
      <w:docGrid w:linePitch="360"/>
      <w:cols w:num="2" w:spa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