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971D" w14:textId="7BE64B6D" w:rsidR="00470C5D" w:rsidRPr="00503FE5" w:rsidRDefault="001208B7" w:rsidP="00503FE5">
      <w:pPr>
        <w:jc w:val="center"/>
        <w:rPr>
          <w:b/>
          <w:bCs/>
          <w:noProof/>
          <w:sz w:val="28"/>
          <w:szCs w:val="28"/>
          <w:lang w:val="en-US"/>
        </w:rPr>
      </w:pPr>
      <w:r w:rsidRPr="00503FE5">
        <w:rPr>
          <w:b/>
          <w:bCs/>
          <w:noProof/>
          <w:sz w:val="28"/>
          <w:szCs w:val="28"/>
          <w:lang w:val="en-US"/>
        </w:rPr>
        <w:t>Project Reflections</w:t>
      </w:r>
    </w:p>
    <w:p w14:paraId="4D9E30E9" w14:textId="3B315B83" w:rsidR="00470C5D" w:rsidRPr="008E7D34" w:rsidRDefault="008E7D34" w:rsidP="00503FE5">
      <w:pPr>
        <w:jc w:val="both"/>
        <w:rPr>
          <w:b/>
          <w:bCs/>
          <w:i/>
          <w:iCs/>
          <w:noProof/>
          <w:u w:val="single"/>
          <w:lang w:val="en-US"/>
        </w:rPr>
      </w:pPr>
      <w:r w:rsidRPr="008E7D34">
        <w:rPr>
          <w:b/>
          <w:bCs/>
          <w:i/>
          <w:iCs/>
          <w:noProof/>
          <w:u w:val="single"/>
          <w:lang w:val="en-US"/>
        </w:rPr>
        <w:t>S</w:t>
      </w:r>
      <w:r>
        <w:rPr>
          <w:b/>
          <w:bCs/>
          <w:i/>
          <w:iCs/>
          <w:noProof/>
          <w:u w:val="single"/>
          <w:lang w:val="en-US"/>
        </w:rPr>
        <w:t>tep</w:t>
      </w:r>
      <w:r w:rsidRPr="008E7D34">
        <w:rPr>
          <w:b/>
          <w:bCs/>
          <w:i/>
          <w:iCs/>
          <w:noProof/>
          <w:u w:val="single"/>
          <w:lang w:val="en-US"/>
        </w:rPr>
        <w:t>: 1</w:t>
      </w:r>
    </w:p>
    <w:p w14:paraId="44192EB0" w14:textId="4D01DEA7" w:rsidR="00503FE5" w:rsidRPr="00503FE5" w:rsidRDefault="001208B7" w:rsidP="00503FE5">
      <w:pPr>
        <w:jc w:val="both"/>
        <w:rPr>
          <w:noProof/>
          <w:lang w:val="en-US"/>
        </w:rPr>
      </w:pPr>
      <w:r w:rsidRPr="00503FE5">
        <w:rPr>
          <w:noProof/>
          <w:lang w:val="en-US"/>
        </w:rPr>
        <w:t xml:space="preserve">As per Game Co’s current understanding, the </w:t>
      </w:r>
      <w:r w:rsidR="00695573" w:rsidRPr="00503FE5">
        <w:rPr>
          <w:noProof/>
          <w:lang w:val="en-US"/>
        </w:rPr>
        <w:t>s</w:t>
      </w:r>
      <w:r w:rsidRPr="00503FE5">
        <w:rPr>
          <w:noProof/>
          <w:lang w:val="en-US"/>
        </w:rPr>
        <w:t xml:space="preserve">ales for the various geographic regions have stayed the same over the years. </w:t>
      </w:r>
      <w:r w:rsidR="00503FE5">
        <w:rPr>
          <w:noProof/>
          <w:lang w:val="en-US"/>
        </w:rPr>
        <w:t xml:space="preserve">In order to </w:t>
      </w:r>
      <w:r w:rsidR="00C766CF">
        <w:rPr>
          <w:noProof/>
          <w:lang w:val="en-US"/>
        </w:rPr>
        <w:t xml:space="preserve">match or revise current understanding, I have tried to look into the trend of </w:t>
      </w:r>
      <w:r w:rsidR="00154D86">
        <w:rPr>
          <w:noProof/>
          <w:lang w:val="en-US"/>
        </w:rPr>
        <w:t xml:space="preserve">composition of global </w:t>
      </w:r>
      <w:r w:rsidR="00C766CF">
        <w:rPr>
          <w:noProof/>
          <w:lang w:val="en-US"/>
        </w:rPr>
        <w:t xml:space="preserve">sales </w:t>
      </w:r>
      <w:r w:rsidR="00154D86">
        <w:rPr>
          <w:noProof/>
          <w:lang w:val="en-US"/>
        </w:rPr>
        <w:t>by</w:t>
      </w:r>
      <w:r w:rsidR="00C766CF">
        <w:rPr>
          <w:noProof/>
          <w:lang w:val="en-US"/>
        </w:rPr>
        <w:t xml:space="preserve"> various geographic regions over the years (2000-2016). </w:t>
      </w:r>
      <w:r w:rsidR="00154D86">
        <w:rPr>
          <w:noProof/>
          <w:lang w:val="en-US"/>
        </w:rPr>
        <w:t>Please refer figure 1.</w:t>
      </w:r>
      <w:r w:rsidR="00485DB3" w:rsidRPr="00503FE5">
        <w:rPr>
          <w:noProof/>
          <w:lang w:val="en-US"/>
        </w:rPr>
        <w:t xml:space="preserve"> </w:t>
      </w:r>
      <w:r w:rsidR="00154D86">
        <w:rPr>
          <w:noProof/>
          <w:lang w:val="en-US"/>
        </w:rPr>
        <w:t xml:space="preserve"> % </w:t>
      </w:r>
      <w:r w:rsidR="00485DB3" w:rsidRPr="00503FE5">
        <w:rPr>
          <w:noProof/>
          <w:lang w:val="en-US"/>
        </w:rPr>
        <w:t>proportion of Global sales</w:t>
      </w:r>
      <w:r w:rsidR="00154D86">
        <w:rPr>
          <w:noProof/>
          <w:lang w:val="en-US"/>
        </w:rPr>
        <w:t xml:space="preserve"> by Region</w:t>
      </w:r>
      <w:r w:rsidR="00485DB3" w:rsidRPr="00503FE5">
        <w:rPr>
          <w:noProof/>
          <w:lang w:val="en-US"/>
        </w:rPr>
        <w:t xml:space="preserve"> from 2000-2016. Market share of NA is gradually declining and the same of EU is steadily increasing. Infact % proportion of global sales by EU has tookover NA in 2015. </w:t>
      </w:r>
      <w:r w:rsidR="002735E2" w:rsidRPr="00503FE5">
        <w:rPr>
          <w:noProof/>
          <w:lang w:val="en-US"/>
        </w:rPr>
        <w:t>Even JP sales is fluctuating a lot over the years. Hence regional sales have never staye</w:t>
      </w:r>
      <w:r w:rsidR="00154D86">
        <w:rPr>
          <w:noProof/>
          <w:lang w:val="en-US"/>
        </w:rPr>
        <w:t>d</w:t>
      </w:r>
      <w:r w:rsidR="002735E2" w:rsidRPr="00503FE5">
        <w:rPr>
          <w:noProof/>
          <w:lang w:val="en-US"/>
        </w:rPr>
        <w:t xml:space="preserve"> the same. </w:t>
      </w:r>
    </w:p>
    <w:p w14:paraId="0A1D0809" w14:textId="639D9FB8" w:rsidR="00610085" w:rsidRPr="00503FE5" w:rsidRDefault="001208B7" w:rsidP="00651127">
      <w:pPr>
        <w:jc w:val="center"/>
        <w:rPr>
          <w:noProof/>
        </w:rPr>
      </w:pPr>
      <w:r w:rsidRPr="00503FE5">
        <w:rPr>
          <w:noProof/>
        </w:rPr>
        <w:drawing>
          <wp:inline distT="0" distB="0" distL="0" distR="0" wp14:anchorId="31055167" wp14:editId="04CC6C43">
            <wp:extent cx="4489938" cy="2309446"/>
            <wp:effectExtent l="0" t="0" r="6350" b="15240"/>
            <wp:docPr id="1" name="Chart 1">
              <a:extLst xmlns:a="http://schemas.openxmlformats.org/drawingml/2006/main">
                <a:ext uri="{FF2B5EF4-FFF2-40B4-BE49-F238E27FC236}">
                  <a16:creationId xmlns:a16="http://schemas.microsoft.com/office/drawing/2014/main" id="{D1412BB4-5CC5-4DCF-AA95-85675D9F65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434DDC" w14:textId="45C882BB" w:rsidR="00503FE5" w:rsidRPr="000B131E" w:rsidRDefault="002735E2" w:rsidP="00651127">
      <w:pPr>
        <w:jc w:val="center"/>
        <w:rPr>
          <w:lang w:val="en-US"/>
        </w:rPr>
      </w:pPr>
      <w:r w:rsidRPr="000B131E">
        <w:rPr>
          <w:lang w:val="en-US"/>
        </w:rPr>
        <w:t>Figure 1</w:t>
      </w:r>
    </w:p>
    <w:p w14:paraId="2727DE10" w14:textId="6277546F" w:rsidR="003C4A81" w:rsidRDefault="002735E2" w:rsidP="00503FE5">
      <w:pPr>
        <w:jc w:val="both"/>
        <w:rPr>
          <w:lang w:val="en-US"/>
        </w:rPr>
      </w:pPr>
      <w:r w:rsidRPr="00503FE5">
        <w:rPr>
          <w:lang w:val="en-US"/>
        </w:rPr>
        <w:t>By grouping regional sales for the Year 2015</w:t>
      </w:r>
      <w:r w:rsidR="00651127">
        <w:rPr>
          <w:lang w:val="en-US"/>
        </w:rPr>
        <w:t xml:space="preserve"> &amp; 20</w:t>
      </w:r>
      <w:r w:rsidRPr="00503FE5">
        <w:rPr>
          <w:lang w:val="en-US"/>
        </w:rPr>
        <w:t>16</w:t>
      </w:r>
      <w:r w:rsidR="00651127">
        <w:rPr>
          <w:lang w:val="en-US"/>
        </w:rPr>
        <w:t xml:space="preserve"> (Figure 2)</w:t>
      </w:r>
      <w:r w:rsidRPr="00503FE5">
        <w:rPr>
          <w:lang w:val="en-US"/>
        </w:rPr>
        <w:t xml:space="preserve">, </w:t>
      </w:r>
      <w:r w:rsidR="009C0CBE" w:rsidRPr="00503FE5">
        <w:rPr>
          <w:lang w:val="en-US"/>
        </w:rPr>
        <w:t xml:space="preserve">We see huge decline in sales from 260 million to 70 million. In addition to that </w:t>
      </w:r>
      <w:r w:rsidRPr="00503FE5">
        <w:rPr>
          <w:lang w:val="en-US"/>
        </w:rPr>
        <w:t xml:space="preserve">We could clearly see the % </w:t>
      </w:r>
      <w:r w:rsidR="009C0CBE" w:rsidRPr="00503FE5">
        <w:rPr>
          <w:lang w:val="en-US"/>
        </w:rPr>
        <w:t>change</w:t>
      </w:r>
      <w:r w:rsidRPr="00503FE5">
        <w:rPr>
          <w:lang w:val="en-US"/>
        </w:rPr>
        <w:t xml:space="preserve"> of sales of every market</w:t>
      </w:r>
      <w:r w:rsidR="009C0CBE" w:rsidRPr="00503FE5">
        <w:rPr>
          <w:lang w:val="en-US"/>
        </w:rPr>
        <w:t xml:space="preserve">. Market share of EU has grown from 37% to 38%, at the same time </w:t>
      </w:r>
      <w:r w:rsidR="00651127">
        <w:rPr>
          <w:lang w:val="en-US"/>
        </w:rPr>
        <w:t>NA market share</w:t>
      </w:r>
      <w:r w:rsidR="009C0CBE" w:rsidRPr="00503FE5">
        <w:rPr>
          <w:lang w:val="en-US"/>
        </w:rPr>
        <w:t xml:space="preserve"> has gone down from 39% to 32%. Other sales </w:t>
      </w:r>
      <w:r w:rsidR="001F7B8C" w:rsidRPr="00503FE5">
        <w:rPr>
          <w:lang w:val="en-US"/>
        </w:rPr>
        <w:t>have</w:t>
      </w:r>
      <w:r w:rsidR="009C0CBE" w:rsidRPr="00503FE5">
        <w:rPr>
          <w:lang w:val="en-US"/>
        </w:rPr>
        <w:t xml:space="preserve"> remain</w:t>
      </w:r>
      <w:r w:rsidR="001F7B8C" w:rsidRPr="00503FE5">
        <w:rPr>
          <w:lang w:val="en-US"/>
        </w:rPr>
        <w:t>ed</w:t>
      </w:r>
      <w:r w:rsidR="009C0CBE" w:rsidRPr="00503FE5">
        <w:rPr>
          <w:lang w:val="en-US"/>
        </w:rPr>
        <w:t xml:space="preserve"> constant and JP market share also doubled </w:t>
      </w:r>
      <w:r w:rsidR="001F7B8C" w:rsidRPr="00503FE5">
        <w:rPr>
          <w:lang w:val="en-US"/>
        </w:rPr>
        <w:t xml:space="preserve">from 2015 to 2016. </w:t>
      </w:r>
    </w:p>
    <w:p w14:paraId="16EF0F14" w14:textId="2BE964C6" w:rsidR="00651127" w:rsidRPr="00503FE5" w:rsidRDefault="00651127" w:rsidP="00651127">
      <w:pPr>
        <w:jc w:val="center"/>
        <w:rPr>
          <w:lang w:val="en-US"/>
        </w:rPr>
      </w:pPr>
      <w:r>
        <w:rPr>
          <w:noProof/>
        </w:rPr>
        <w:drawing>
          <wp:inline distT="0" distB="0" distL="0" distR="0" wp14:anchorId="33CBC17E" wp14:editId="63D69DC0">
            <wp:extent cx="4560277" cy="2497016"/>
            <wp:effectExtent l="0" t="0" r="12065" b="17780"/>
            <wp:docPr id="9" name="Chart 9">
              <a:extLst xmlns:a="http://schemas.openxmlformats.org/drawingml/2006/main">
                <a:ext uri="{FF2B5EF4-FFF2-40B4-BE49-F238E27FC236}">
                  <a16:creationId xmlns:a16="http://schemas.microsoft.com/office/drawing/2014/main" id="{95C00AE6-E5A5-42F3-8CC8-46835CB25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1BF58A" w14:textId="77777777" w:rsidR="001F7B8C" w:rsidRPr="000B131E" w:rsidRDefault="001F7B8C" w:rsidP="008E7D34">
      <w:pPr>
        <w:tabs>
          <w:tab w:val="left" w:pos="7200"/>
        </w:tabs>
        <w:jc w:val="center"/>
        <w:rPr>
          <w:lang w:val="en-US"/>
        </w:rPr>
      </w:pPr>
      <w:r w:rsidRPr="008E7D34">
        <w:rPr>
          <w:lang w:val="en-US"/>
        </w:rPr>
        <w:t>Figure 2</w:t>
      </w:r>
    </w:p>
    <w:p w14:paraId="72B486C6" w14:textId="3F381710" w:rsidR="001F7B8C" w:rsidRDefault="001F7B8C" w:rsidP="00503FE5">
      <w:pPr>
        <w:jc w:val="both"/>
        <w:rPr>
          <w:rFonts w:cstheme="minorHAnsi"/>
          <w:color w:val="333333"/>
          <w:shd w:val="clear" w:color="auto" w:fill="FFFFFF"/>
          <w:lang w:val="en-US"/>
        </w:rPr>
      </w:pPr>
      <w:r w:rsidRPr="00503FE5">
        <w:rPr>
          <w:lang w:val="en-US"/>
        </w:rPr>
        <w:lastRenderedPageBreak/>
        <w:t xml:space="preserve">Since every regional market sale is not constant, here we need to challenge our current expectation and revise our business understanding. </w:t>
      </w:r>
      <w:r w:rsidR="00503FE5" w:rsidRPr="00503FE5">
        <w:rPr>
          <w:rFonts w:cstheme="minorHAnsi"/>
          <w:lang w:val="en-US"/>
        </w:rPr>
        <w:t xml:space="preserve">Hence </w:t>
      </w:r>
      <w:r w:rsidR="00503FE5" w:rsidRPr="00503FE5">
        <w:rPr>
          <w:rFonts w:cstheme="minorHAnsi"/>
          <w:color w:val="333333"/>
          <w:shd w:val="clear" w:color="auto" w:fill="FFFFFF"/>
        </w:rPr>
        <w:t xml:space="preserve">sales for the various geographic regions have </w:t>
      </w:r>
      <w:r w:rsidR="00503FE5" w:rsidRPr="00503FE5">
        <w:rPr>
          <w:rFonts w:cstheme="minorHAnsi"/>
          <w:color w:val="333333"/>
          <w:shd w:val="clear" w:color="auto" w:fill="FFFFFF"/>
          <w:lang w:val="en-US"/>
        </w:rPr>
        <w:t>no</w:t>
      </w:r>
      <w:r w:rsidR="00503FE5">
        <w:rPr>
          <w:rFonts w:cstheme="minorHAnsi"/>
          <w:color w:val="333333"/>
          <w:shd w:val="clear" w:color="auto" w:fill="FFFFFF"/>
          <w:lang w:val="en-US"/>
        </w:rPr>
        <w:t xml:space="preserve">t </w:t>
      </w:r>
      <w:r w:rsidR="00503FE5" w:rsidRPr="00503FE5">
        <w:rPr>
          <w:rFonts w:cstheme="minorHAnsi"/>
          <w:color w:val="333333"/>
          <w:shd w:val="clear" w:color="auto" w:fill="FFFFFF"/>
        </w:rPr>
        <w:t>stayed the same over time</w:t>
      </w:r>
      <w:r w:rsidR="00503FE5" w:rsidRPr="00503FE5">
        <w:rPr>
          <w:rFonts w:cstheme="minorHAnsi"/>
          <w:color w:val="333333"/>
          <w:shd w:val="clear" w:color="auto" w:fill="FFFFFF"/>
          <w:lang w:val="en-US"/>
        </w:rPr>
        <w:t>.</w:t>
      </w:r>
    </w:p>
    <w:p w14:paraId="65D99EFF" w14:textId="77777777" w:rsidR="008E7D34" w:rsidRPr="00503FE5" w:rsidRDefault="008E7D34" w:rsidP="00503FE5">
      <w:pPr>
        <w:jc w:val="both"/>
        <w:rPr>
          <w:rFonts w:cstheme="minorHAnsi"/>
          <w:lang w:val="en-US"/>
        </w:rPr>
      </w:pPr>
    </w:p>
    <w:p w14:paraId="2EB3CCE5" w14:textId="6E6B1A78" w:rsidR="008E7D34" w:rsidRDefault="008E7D34" w:rsidP="008E7D34">
      <w:pPr>
        <w:jc w:val="both"/>
        <w:rPr>
          <w:b/>
          <w:bCs/>
          <w:i/>
          <w:iCs/>
          <w:noProof/>
          <w:u w:val="single"/>
          <w:lang w:val="en-US"/>
        </w:rPr>
      </w:pPr>
      <w:r w:rsidRPr="008E7D34">
        <w:rPr>
          <w:b/>
          <w:bCs/>
          <w:i/>
          <w:iCs/>
          <w:noProof/>
          <w:u w:val="single"/>
          <w:lang w:val="en-US"/>
        </w:rPr>
        <w:t>S</w:t>
      </w:r>
      <w:r>
        <w:rPr>
          <w:b/>
          <w:bCs/>
          <w:i/>
          <w:iCs/>
          <w:noProof/>
          <w:u w:val="single"/>
          <w:lang w:val="en-US"/>
        </w:rPr>
        <w:t>tep</w:t>
      </w:r>
      <w:r w:rsidRPr="008E7D34">
        <w:rPr>
          <w:b/>
          <w:bCs/>
          <w:i/>
          <w:iCs/>
          <w:noProof/>
          <w:u w:val="single"/>
          <w:lang w:val="en-US"/>
        </w:rPr>
        <w:t xml:space="preserve">: </w:t>
      </w:r>
      <w:r>
        <w:rPr>
          <w:b/>
          <w:bCs/>
          <w:i/>
          <w:iCs/>
          <w:noProof/>
          <w:u w:val="single"/>
          <w:lang w:val="en-US"/>
        </w:rPr>
        <w:t>4</w:t>
      </w:r>
    </w:p>
    <w:p w14:paraId="27DE3A34" w14:textId="618CC53C" w:rsidR="008E7D34" w:rsidRDefault="000B131E" w:rsidP="008E7D34">
      <w:pPr>
        <w:jc w:val="both"/>
        <w:rPr>
          <w:noProof/>
          <w:lang w:val="en-US"/>
        </w:rPr>
      </w:pPr>
      <w:r>
        <w:rPr>
          <w:noProof/>
          <w:lang w:val="en-US"/>
        </w:rPr>
        <w:t>I have started my analysis with line chart to understand the trend of regional sales over the years. In order to analyse market share of each regional market from 1980-2016</w:t>
      </w:r>
      <w:r w:rsidR="004110C8">
        <w:rPr>
          <w:noProof/>
          <w:lang w:val="en-US"/>
        </w:rPr>
        <w:t>, I have considered % proportion of global sale by region. This helps me to understand how every market is changing in the declining global sales.</w:t>
      </w:r>
    </w:p>
    <w:p w14:paraId="25E64EA0" w14:textId="5147707A" w:rsidR="004110C8" w:rsidRDefault="004110C8" w:rsidP="008E7D34">
      <w:pPr>
        <w:jc w:val="both"/>
        <w:rPr>
          <w:noProof/>
          <w:lang w:val="en-US"/>
        </w:rPr>
      </w:pPr>
      <w:r>
        <w:rPr>
          <w:noProof/>
          <w:lang w:val="en-US"/>
        </w:rPr>
        <w:t>Second chart is stacked chart to understand the % change in market share by region. Since EU market has overtaken in 2015, I was more interested to check the % change for market attractiveness analysis.</w:t>
      </w:r>
    </w:p>
    <w:p w14:paraId="68D24B79" w14:textId="69BC1611" w:rsidR="004110C8" w:rsidRDefault="004110C8" w:rsidP="008E7D34">
      <w:pPr>
        <w:jc w:val="both"/>
        <w:rPr>
          <w:noProof/>
          <w:lang w:val="en-US"/>
        </w:rPr>
      </w:pPr>
      <w:r>
        <w:rPr>
          <w:noProof/>
          <w:lang w:val="en-US"/>
        </w:rPr>
        <w:t xml:space="preserve">I have used </w:t>
      </w:r>
      <w:r w:rsidR="007B7938">
        <w:rPr>
          <w:noProof/>
          <w:lang w:val="en-US"/>
        </w:rPr>
        <w:t>C</w:t>
      </w:r>
      <w:r>
        <w:rPr>
          <w:noProof/>
          <w:lang w:val="en-US"/>
        </w:rPr>
        <w:t>ombo chart (</w:t>
      </w:r>
      <w:r w:rsidR="007B7938">
        <w:rPr>
          <w:noProof/>
          <w:lang w:val="en-US"/>
        </w:rPr>
        <w:t xml:space="preserve">Bar &amp; Line), to understand the relationship between the game production and Game selling. </w:t>
      </w:r>
    </w:p>
    <w:p w14:paraId="6FA78A86" w14:textId="130CA349" w:rsidR="007B7938" w:rsidRDefault="007B7938" w:rsidP="008E7D34">
      <w:pPr>
        <w:jc w:val="both"/>
        <w:rPr>
          <w:noProof/>
          <w:lang w:val="en-US"/>
        </w:rPr>
      </w:pPr>
      <w:r>
        <w:rPr>
          <w:noProof/>
          <w:lang w:val="en-US"/>
        </w:rPr>
        <w:t>To further understand the Genre Popularity by region, I chose Pie chart. This chart is very easy to undestrand the market contribution by each piece.</w:t>
      </w:r>
    </w:p>
    <w:p w14:paraId="66E0E94E" w14:textId="01F5C991" w:rsidR="007B7938" w:rsidRDefault="007B7938" w:rsidP="008E7D34">
      <w:pPr>
        <w:jc w:val="both"/>
        <w:rPr>
          <w:noProof/>
          <w:lang w:val="en-US"/>
        </w:rPr>
      </w:pPr>
      <w:r>
        <w:rPr>
          <w:noProof/>
          <w:lang w:val="en-US"/>
        </w:rPr>
        <w:t>Again I have used Colum</w:t>
      </w:r>
      <w:r w:rsidR="00E46716">
        <w:rPr>
          <w:noProof/>
          <w:lang w:val="en-US"/>
        </w:rPr>
        <w:t>n stacked chart for 3 regional Publisher sales. It will show which top publishers are popular in which region and the same chart for Platforms. It will again indicate popular platform for specific region.</w:t>
      </w:r>
    </w:p>
    <w:p w14:paraId="4D427B8B" w14:textId="7F2C705D" w:rsidR="00E46716" w:rsidRPr="000B131E" w:rsidRDefault="001F368B" w:rsidP="008E7D34">
      <w:pPr>
        <w:jc w:val="both"/>
        <w:rPr>
          <w:noProof/>
          <w:lang w:val="en-US"/>
        </w:rPr>
      </w:pPr>
      <w:r>
        <w:rPr>
          <w:noProof/>
          <w:lang w:val="en-US"/>
        </w:rPr>
        <w:t>These charts differ from the charts I used in the step 1. Because initially I wanted to understand the trend of regional sales over the time. But in step 4, I was more involved in to develop strategies to allocate marketing budget efficiently. Since this step required further investigation into other variables like Publisher, Genre, Platform related to regional sales and popularity of these variables over the years, I had to introduce Pie, Column stacked, Combo charts etc.</w:t>
      </w:r>
    </w:p>
    <w:p w14:paraId="25CC9B6D" w14:textId="77777777" w:rsidR="008E7D34" w:rsidRPr="008E7D34" w:rsidRDefault="008E7D34" w:rsidP="008E7D34">
      <w:pPr>
        <w:jc w:val="both"/>
        <w:rPr>
          <w:noProof/>
          <w:lang w:val="en-US"/>
        </w:rPr>
      </w:pPr>
    </w:p>
    <w:p w14:paraId="66B4F6A8" w14:textId="4971D2E1" w:rsidR="00470C5D" w:rsidRPr="008E7D34" w:rsidRDefault="00470C5D" w:rsidP="00470C5D">
      <w:pPr>
        <w:tabs>
          <w:tab w:val="left" w:pos="7200"/>
        </w:tabs>
        <w:rPr>
          <w:b/>
          <w:bCs/>
          <w:i/>
          <w:iCs/>
        </w:rPr>
      </w:pPr>
      <w:r w:rsidRPr="008E7D34">
        <w:rPr>
          <w:b/>
          <w:bCs/>
          <w:i/>
          <w:iCs/>
        </w:rPr>
        <w:tab/>
      </w:r>
    </w:p>
    <w:p w14:paraId="4F32A71B" w14:textId="271EF5AC" w:rsidR="00470C5D" w:rsidRPr="00470C5D" w:rsidRDefault="00470C5D" w:rsidP="00470C5D">
      <w:pPr>
        <w:tabs>
          <w:tab w:val="left" w:pos="7200"/>
        </w:tabs>
      </w:pPr>
    </w:p>
    <w:sectPr w:rsidR="00470C5D" w:rsidRPr="00470C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A1"/>
    <w:rsid w:val="000B131E"/>
    <w:rsid w:val="001208B7"/>
    <w:rsid w:val="00154D86"/>
    <w:rsid w:val="001F368B"/>
    <w:rsid w:val="001F7B8C"/>
    <w:rsid w:val="002735E2"/>
    <w:rsid w:val="0033685F"/>
    <w:rsid w:val="003C4A81"/>
    <w:rsid w:val="004110C8"/>
    <w:rsid w:val="00470C5D"/>
    <w:rsid w:val="00485DB3"/>
    <w:rsid w:val="004D5A6B"/>
    <w:rsid w:val="00503FE5"/>
    <w:rsid w:val="00610085"/>
    <w:rsid w:val="00636664"/>
    <w:rsid w:val="00651127"/>
    <w:rsid w:val="00695573"/>
    <w:rsid w:val="007B7938"/>
    <w:rsid w:val="008E7D34"/>
    <w:rsid w:val="009C0CBE"/>
    <w:rsid w:val="00C766CF"/>
    <w:rsid w:val="00C95FA1"/>
    <w:rsid w:val="00DE0F55"/>
    <w:rsid w:val="00E4671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A992"/>
  <w15:chartTrackingRefBased/>
  <w15:docId w15:val="{60E7786F-DB27-42BF-A16A-FDA7662C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patel\Desktop\1.10%20Final%20Tas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patel\Desktop\1.10%20Final%20Tas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[1.10 Final Task.xlsx]Sheet3!PivotTable2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Proportion of Global Sales by Region over</a:t>
            </a:r>
            <a:r>
              <a:rPr lang="en-US" baseline="0"/>
              <a:t> the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Sheet3!$B$3</c:f>
              <c:strCache>
                <c:ptCount val="1"/>
                <c:pt idx="0">
                  <c:v>Sum of % proportion of NA_Sales</c:v>
                </c:pt>
              </c:strCache>
            </c:strRef>
          </c:tx>
          <c:spPr>
            <a:ln w="28575" cap="rnd">
              <a:solidFill>
                <a:schemeClr val="accent1"/>
              </a:solidFill>
              <a:round/>
            </a:ln>
            <a:effectLst/>
          </c:spPr>
          <c:marker>
            <c:symbol val="none"/>
          </c:marker>
          <c:cat>
            <c:strRef>
              <c:f>Sheet3!$A$4:$A$21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Sheet3!$B$4:$B$21</c:f>
              <c:numCache>
                <c:formatCode>0%</c:formatCode>
                <c:ptCount val="17"/>
                <c:pt idx="0">
                  <c:v>0.46879341139114866</c:v>
                </c:pt>
                <c:pt idx="1">
                  <c:v>0.52487404591667686</c:v>
                </c:pt>
                <c:pt idx="2">
                  <c:v>0.54659688511327176</c:v>
                </c:pt>
                <c:pt idx="3">
                  <c:v>0.54098085790135908</c:v>
                </c:pt>
                <c:pt idx="4">
                  <c:v>0.53084829839498504</c:v>
                </c:pt>
                <c:pt idx="5">
                  <c:v>0.52748614281056805</c:v>
                </c:pt>
                <c:pt idx="6">
                  <c:v>0.50499001996008941</c:v>
                </c:pt>
                <c:pt idx="7">
                  <c:v>0.51064491318791316</c:v>
                </c:pt>
                <c:pt idx="8">
                  <c:v>0.51772192923013705</c:v>
                </c:pt>
                <c:pt idx="9">
                  <c:v>0.50782303749663038</c:v>
                </c:pt>
                <c:pt idx="10">
                  <c:v>0.50672040772139537</c:v>
                </c:pt>
                <c:pt idx="11">
                  <c:v>0.46717959650381635</c:v>
                </c:pt>
                <c:pt idx="12">
                  <c:v>0.42625295703361593</c:v>
                </c:pt>
                <c:pt idx="13">
                  <c:v>0.42049066753606829</c:v>
                </c:pt>
                <c:pt idx="14">
                  <c:v>0.39154428126390972</c:v>
                </c:pt>
                <c:pt idx="15">
                  <c:v>0.38882166086824943</c:v>
                </c:pt>
                <c:pt idx="16">
                  <c:v>0.31946989990131036</c:v>
                </c:pt>
              </c:numCache>
            </c:numRef>
          </c:val>
          <c:smooth val="0"/>
          <c:extLst>
            <c:ext xmlns:c16="http://schemas.microsoft.com/office/drawing/2014/chart" uri="{C3380CC4-5D6E-409C-BE32-E72D297353CC}">
              <c16:uniqueId val="{00000000-304D-4F0E-B161-359960503C9C}"/>
            </c:ext>
          </c:extLst>
        </c:ser>
        <c:ser>
          <c:idx val="1"/>
          <c:order val="1"/>
          <c:tx>
            <c:strRef>
              <c:f>Sheet3!$C$3</c:f>
              <c:strCache>
                <c:ptCount val="1"/>
                <c:pt idx="0">
                  <c:v>Sum of % proportion of EU_Sales</c:v>
                </c:pt>
              </c:strCache>
            </c:strRef>
          </c:tx>
          <c:spPr>
            <a:ln w="28575" cap="rnd">
              <a:solidFill>
                <a:schemeClr val="accent2"/>
              </a:solidFill>
              <a:round/>
            </a:ln>
            <a:effectLst/>
          </c:spPr>
          <c:marker>
            <c:symbol val="none"/>
          </c:marker>
          <c:cat>
            <c:strRef>
              <c:f>Sheet3!$A$4:$A$21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Sheet3!$C$4:$C$21</c:f>
              <c:numCache>
                <c:formatCode>0%</c:formatCode>
                <c:ptCount val="17"/>
                <c:pt idx="0">
                  <c:v>0.261708672355626</c:v>
                </c:pt>
                <c:pt idx="1">
                  <c:v>0.28627025070142126</c:v>
                </c:pt>
                <c:pt idx="2">
                  <c:v>0.27745752427184667</c:v>
                </c:pt>
                <c:pt idx="3">
                  <c:v>0.29009361464300842</c:v>
                </c:pt>
                <c:pt idx="4">
                  <c:v>0.25594428942787123</c:v>
                </c:pt>
                <c:pt idx="5">
                  <c:v>0.26514509292468436</c:v>
                </c:pt>
                <c:pt idx="6">
                  <c:v>0.24804237678489763</c:v>
                </c:pt>
                <c:pt idx="7">
                  <c:v>0.2626454368423663</c:v>
                </c:pt>
                <c:pt idx="8">
                  <c:v>0.27164785952093518</c:v>
                </c:pt>
                <c:pt idx="9">
                  <c:v>0.28712945478524343</c:v>
                </c:pt>
                <c:pt idx="10">
                  <c:v>0.29434886161123541</c:v>
                </c:pt>
                <c:pt idx="11">
                  <c:v>0.32450241283746306</c:v>
                </c:pt>
                <c:pt idx="12">
                  <c:v>0.32673158386972689</c:v>
                </c:pt>
                <c:pt idx="13">
                  <c:v>0.34178281305186647</c:v>
                </c:pt>
                <c:pt idx="14">
                  <c:v>0.37279335410176712</c:v>
                </c:pt>
                <c:pt idx="15">
                  <c:v>0.36949780668582621</c:v>
                </c:pt>
                <c:pt idx="16">
                  <c:v>0.37727336810940248</c:v>
                </c:pt>
              </c:numCache>
            </c:numRef>
          </c:val>
          <c:smooth val="0"/>
          <c:extLst>
            <c:ext xmlns:c16="http://schemas.microsoft.com/office/drawing/2014/chart" uri="{C3380CC4-5D6E-409C-BE32-E72D297353CC}">
              <c16:uniqueId val="{00000001-304D-4F0E-B161-359960503C9C}"/>
            </c:ext>
          </c:extLst>
        </c:ser>
        <c:ser>
          <c:idx val="2"/>
          <c:order val="2"/>
          <c:tx>
            <c:strRef>
              <c:f>Sheet3!$D$3</c:f>
              <c:strCache>
                <c:ptCount val="1"/>
                <c:pt idx="0">
                  <c:v>Sum of % proportion of JP_Sales</c:v>
                </c:pt>
              </c:strCache>
            </c:strRef>
          </c:tx>
          <c:spPr>
            <a:ln w="28575" cap="rnd">
              <a:solidFill>
                <a:schemeClr val="accent3"/>
              </a:solidFill>
              <a:round/>
            </a:ln>
            <a:effectLst/>
          </c:spPr>
          <c:marker>
            <c:symbol val="none"/>
          </c:marker>
          <c:cat>
            <c:strRef>
              <c:f>Sheet3!$A$4:$A$21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Sheet3!$D$4:$D$21</c:f>
              <c:numCache>
                <c:formatCode>0%</c:formatCode>
                <c:ptCount val="17"/>
                <c:pt idx="0">
                  <c:v>0.21219487993649533</c:v>
                </c:pt>
                <c:pt idx="1">
                  <c:v>0.12025220985307901</c:v>
                </c:pt>
                <c:pt idx="2">
                  <c:v>0.10558252427184517</c:v>
                </c:pt>
                <c:pt idx="3">
                  <c:v>9.5570769875646541E-2</c:v>
                </c:pt>
                <c:pt idx="4">
                  <c:v>9.9329851422575485E-2</c:v>
                </c:pt>
                <c:pt idx="5">
                  <c:v>0.11798717530703248</c:v>
                </c:pt>
                <c:pt idx="6">
                  <c:v>0.14150545063719033</c:v>
                </c:pt>
                <c:pt idx="7">
                  <c:v>9.8594315076340408E-2</c:v>
                </c:pt>
                <c:pt idx="8">
                  <c:v>8.8712766270882676E-2</c:v>
                </c:pt>
                <c:pt idx="9">
                  <c:v>9.2692503671732859E-2</c:v>
                </c:pt>
                <c:pt idx="10">
                  <c:v>9.901567262370857E-2</c:v>
                </c:pt>
                <c:pt idx="11">
                  <c:v>0.10279268978081121</c:v>
                </c:pt>
                <c:pt idx="12">
                  <c:v>0.14232271551961376</c:v>
                </c:pt>
                <c:pt idx="13">
                  <c:v>0.12918738283478753</c:v>
                </c:pt>
                <c:pt idx="14">
                  <c:v>0.11707461800919827</c:v>
                </c:pt>
                <c:pt idx="15">
                  <c:v>0.12751474814702757</c:v>
                </c:pt>
                <c:pt idx="16">
                  <c:v>0.19314817425630776</c:v>
                </c:pt>
              </c:numCache>
            </c:numRef>
          </c:val>
          <c:smooth val="0"/>
          <c:extLst>
            <c:ext xmlns:c16="http://schemas.microsoft.com/office/drawing/2014/chart" uri="{C3380CC4-5D6E-409C-BE32-E72D297353CC}">
              <c16:uniqueId val="{00000002-304D-4F0E-B161-359960503C9C}"/>
            </c:ext>
          </c:extLst>
        </c:ser>
        <c:ser>
          <c:idx val="3"/>
          <c:order val="3"/>
          <c:tx>
            <c:strRef>
              <c:f>Sheet3!$E$3</c:f>
              <c:strCache>
                <c:ptCount val="1"/>
                <c:pt idx="0">
                  <c:v>Sum of % proportion of Other_Sales</c:v>
                </c:pt>
              </c:strCache>
            </c:strRef>
          </c:tx>
          <c:spPr>
            <a:ln w="28575" cap="rnd">
              <a:solidFill>
                <a:schemeClr val="accent4"/>
              </a:solidFill>
              <a:round/>
            </a:ln>
            <a:effectLst/>
          </c:spPr>
          <c:marker>
            <c:symbol val="none"/>
          </c:marker>
          <c:cat>
            <c:strRef>
              <c:f>Sheet3!$A$4:$A$21</c:f>
              <c:strCach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strCache>
            </c:strRef>
          </c:cat>
          <c:val>
            <c:numRef>
              <c:f>Sheet3!$E$4:$E$21</c:f>
              <c:numCache>
                <c:formatCode>0%</c:formatCode>
                <c:ptCount val="17"/>
                <c:pt idx="0">
                  <c:v>5.7650327445921433E-2</c:v>
                </c:pt>
                <c:pt idx="1">
                  <c:v>6.8663830814252411E-2</c:v>
                </c:pt>
                <c:pt idx="2">
                  <c:v>6.8972491909386049E-2</c:v>
                </c:pt>
                <c:pt idx="3">
                  <c:v>7.2684085510689708E-2</c:v>
                </c:pt>
                <c:pt idx="4">
                  <c:v>0.11263742815577966</c:v>
                </c:pt>
                <c:pt idx="5">
                  <c:v>8.7946962286708036E-2</c:v>
                </c:pt>
                <c:pt idx="6">
                  <c:v>0.10388837709197177</c:v>
                </c:pt>
                <c:pt idx="7">
                  <c:v>0.12523523539904408</c:v>
                </c:pt>
                <c:pt idx="8">
                  <c:v>0.11938363631007036</c:v>
                </c:pt>
                <c:pt idx="9">
                  <c:v>0.11109612444924317</c:v>
                </c:pt>
                <c:pt idx="10">
                  <c:v>9.9215536050366371E-2</c:v>
                </c:pt>
                <c:pt idx="11">
                  <c:v>0.10498265470261159</c:v>
                </c:pt>
                <c:pt idx="12">
                  <c:v>0.10386752489409738</c:v>
                </c:pt>
                <c:pt idx="13">
                  <c:v>0.1080772679109956</c:v>
                </c:pt>
                <c:pt idx="14">
                  <c:v>0.11870642337932109</c:v>
                </c:pt>
                <c:pt idx="15">
                  <c:v>0.11340946906670744</c:v>
                </c:pt>
                <c:pt idx="16">
                  <c:v>0.10883970111377343</c:v>
                </c:pt>
              </c:numCache>
            </c:numRef>
          </c:val>
          <c:smooth val="0"/>
          <c:extLst>
            <c:ext xmlns:c16="http://schemas.microsoft.com/office/drawing/2014/chart" uri="{C3380CC4-5D6E-409C-BE32-E72D297353CC}">
              <c16:uniqueId val="{00000003-304D-4F0E-B161-359960503C9C}"/>
            </c:ext>
          </c:extLst>
        </c:ser>
        <c:dLbls>
          <c:showLegendKey val="0"/>
          <c:showVal val="0"/>
          <c:showCatName val="0"/>
          <c:showSerName val="0"/>
          <c:showPercent val="0"/>
          <c:showBubbleSize val="0"/>
        </c:dLbls>
        <c:smooth val="0"/>
        <c:axId val="593510528"/>
        <c:axId val="595215072"/>
      </c:lineChart>
      <c:catAx>
        <c:axId val="59351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95215072"/>
        <c:crosses val="autoZero"/>
        <c:auto val="1"/>
        <c:lblAlgn val="ctr"/>
        <c:lblOffset val="100"/>
        <c:noMultiLvlLbl val="0"/>
      </c:catAx>
      <c:valAx>
        <c:axId val="59521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a:t>
                </a:r>
                <a:r>
                  <a:rPr lang="en-US" baseline="0"/>
                  <a:t> Global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93510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[1.10 Final Task.xlsx]Sheet2!PivotTable1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 Sales</a:t>
            </a:r>
            <a:r>
              <a:rPr lang="en-US" baseline="0"/>
              <a:t> for the Year 2015 &amp;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5"/>
        <c:spPr>
          <a:solidFill>
            <a:schemeClr val="accent2"/>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37%</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6"/>
        <c:spPr>
          <a:solidFill>
            <a:schemeClr val="accent3"/>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7"/>
        <c:spPr>
          <a:solidFill>
            <a:schemeClr val="accent4"/>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8"/>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32%</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9"/>
        <c:spPr>
          <a:solidFill>
            <a:schemeClr val="accent2"/>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0"/>
        <c:spPr>
          <a:solidFill>
            <a:schemeClr val="accent3"/>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1"/>
        <c:spPr>
          <a:solidFill>
            <a:schemeClr val="accent4"/>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4"/>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32%</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37%</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7"/>
        <c:spPr>
          <a:solidFill>
            <a:schemeClr val="accent2"/>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3"/>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0"/>
        <c:spPr>
          <a:solidFill>
            <a:schemeClr val="accent3"/>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4"/>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3"/>
        <c:spPr>
          <a:solidFill>
            <a:schemeClr val="accent4"/>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6"/>
        <c:spPr>
          <a:solidFill>
            <a:schemeClr val="accent1"/>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32%</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2"/>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37%</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9"/>
        <c:spPr>
          <a:solidFill>
            <a:schemeClr val="accent2"/>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3"/>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2"/>
        <c:spPr>
          <a:solidFill>
            <a:schemeClr val="accent3"/>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4"/>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5"/>
        <c:spPr>
          <a:solidFill>
            <a:schemeClr val="accent4"/>
          </a:solidFill>
          <a:ln>
            <a:no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11%%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s>
    <c:plotArea>
      <c:layout/>
      <c:barChart>
        <c:barDir val="col"/>
        <c:grouping val="stacked"/>
        <c:varyColors val="0"/>
        <c:ser>
          <c:idx val="0"/>
          <c:order val="0"/>
          <c:tx>
            <c:strRef>
              <c:f>Sheet2!$B$3</c:f>
              <c:strCache>
                <c:ptCount val="1"/>
                <c:pt idx="0">
                  <c:v>Sum of NA_Sales</c:v>
                </c:pt>
              </c:strCache>
            </c:strRef>
          </c:tx>
          <c:spPr>
            <a:solidFill>
              <a:schemeClr val="accent1"/>
            </a:solidFill>
            <a:ln>
              <a:noFill/>
            </a:ln>
            <a:effectLst/>
          </c:spPr>
          <c:invertIfNegative val="0"/>
          <c:dLbls>
            <c:dLbl>
              <c:idx val="0"/>
              <c:tx>
                <c:rich>
                  <a:bodyPr/>
                  <a:lstStyle/>
                  <a:p>
                    <a:r>
                      <a:rPr lang="en-US"/>
                      <a:t>39%</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B4C-49B0-A2B3-24FD5A8E2C51}"/>
                </c:ext>
              </c:extLst>
            </c:dLbl>
            <c:dLbl>
              <c:idx val="1"/>
              <c:tx>
                <c:rich>
                  <a:bodyPr/>
                  <a:lstStyle/>
                  <a:p>
                    <a:r>
                      <a:rPr lang="en-US"/>
                      <a:t>32%</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B4C-49B0-A2B3-24FD5A8E2C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Sheet2!$A$4:$A$6</c:f>
              <c:strCache>
                <c:ptCount val="2"/>
                <c:pt idx="0">
                  <c:v>2015</c:v>
                </c:pt>
                <c:pt idx="1">
                  <c:v>2016</c:v>
                </c:pt>
              </c:strCache>
            </c:strRef>
          </c:cat>
          <c:val>
            <c:numRef>
              <c:f>Sheet2!$B$4:$B$6</c:f>
              <c:numCache>
                <c:formatCode>General</c:formatCode>
                <c:ptCount val="2"/>
                <c:pt idx="0">
                  <c:v>102.81999999999995</c:v>
                </c:pt>
                <c:pt idx="1">
                  <c:v>22.659999999999989</c:v>
                </c:pt>
              </c:numCache>
            </c:numRef>
          </c:val>
          <c:extLst>
            <c:ext xmlns:c16="http://schemas.microsoft.com/office/drawing/2014/chart" uri="{C3380CC4-5D6E-409C-BE32-E72D297353CC}">
              <c16:uniqueId val="{00000002-EB4C-49B0-A2B3-24FD5A8E2C51}"/>
            </c:ext>
          </c:extLst>
        </c:ser>
        <c:ser>
          <c:idx val="1"/>
          <c:order val="1"/>
          <c:tx>
            <c:strRef>
              <c:f>Sheet2!$C$3</c:f>
              <c:strCache>
                <c:ptCount val="1"/>
                <c:pt idx="0">
                  <c:v>Sum of EU_Sales</c:v>
                </c:pt>
              </c:strCache>
            </c:strRef>
          </c:tx>
          <c:spPr>
            <a:solidFill>
              <a:schemeClr val="accent2"/>
            </a:solidFill>
            <a:ln>
              <a:noFill/>
            </a:ln>
            <a:effectLst/>
          </c:spPr>
          <c:invertIfNegative val="0"/>
          <c:dLbls>
            <c:dLbl>
              <c:idx val="0"/>
              <c:tx>
                <c:rich>
                  <a:bodyPr/>
                  <a:lstStyle/>
                  <a:p>
                    <a:r>
                      <a:rPr lang="en-US"/>
                      <a:t>37%</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B4C-49B0-A2B3-24FD5A8E2C51}"/>
                </c:ext>
              </c:extLst>
            </c:dLbl>
            <c:dLbl>
              <c:idx val="1"/>
              <c:tx>
                <c:rich>
                  <a:bodyPr/>
                  <a:lstStyle/>
                  <a:p>
                    <a:r>
                      <a:rPr lang="en-US"/>
                      <a:t>38%</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EB4C-49B0-A2B3-24FD5A8E2C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Sheet2!$A$4:$A$6</c:f>
              <c:strCache>
                <c:ptCount val="2"/>
                <c:pt idx="0">
                  <c:v>2015</c:v>
                </c:pt>
                <c:pt idx="1">
                  <c:v>2016</c:v>
                </c:pt>
              </c:strCache>
            </c:strRef>
          </c:cat>
          <c:val>
            <c:numRef>
              <c:f>Sheet2!$C$4:$C$6</c:f>
              <c:numCache>
                <c:formatCode>General</c:formatCode>
                <c:ptCount val="2"/>
                <c:pt idx="0">
                  <c:v>97.709999999999923</c:v>
                </c:pt>
                <c:pt idx="1">
                  <c:v>26.759999999999987</c:v>
                </c:pt>
              </c:numCache>
            </c:numRef>
          </c:val>
          <c:extLst>
            <c:ext xmlns:c16="http://schemas.microsoft.com/office/drawing/2014/chart" uri="{C3380CC4-5D6E-409C-BE32-E72D297353CC}">
              <c16:uniqueId val="{00000005-EB4C-49B0-A2B3-24FD5A8E2C51}"/>
            </c:ext>
          </c:extLst>
        </c:ser>
        <c:ser>
          <c:idx val="2"/>
          <c:order val="2"/>
          <c:tx>
            <c:strRef>
              <c:f>Sheet2!$D$3</c:f>
              <c:strCache>
                <c:ptCount val="1"/>
                <c:pt idx="0">
                  <c:v>Sum of JP_Sales</c:v>
                </c:pt>
              </c:strCache>
            </c:strRef>
          </c:tx>
          <c:spPr>
            <a:solidFill>
              <a:schemeClr val="accent3"/>
            </a:solidFill>
            <a:ln>
              <a:noFill/>
            </a:ln>
            <a:effectLst/>
          </c:spPr>
          <c:invertIfNegative val="0"/>
          <c:dLbls>
            <c:dLbl>
              <c:idx val="0"/>
              <c:tx>
                <c:rich>
                  <a:bodyPr/>
                  <a:lstStyle/>
                  <a:p>
                    <a:r>
                      <a:rPr lang="en-US"/>
                      <a:t>13%</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EB4C-49B0-A2B3-24FD5A8E2C51}"/>
                </c:ext>
              </c:extLst>
            </c:dLbl>
            <c:dLbl>
              <c:idx val="1"/>
              <c:tx>
                <c:rich>
                  <a:bodyPr/>
                  <a:lstStyle/>
                  <a:p>
                    <a:r>
                      <a:rPr lang="en-US"/>
                      <a:t>19%</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EB4C-49B0-A2B3-24FD5A8E2C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Sheet2!$A$4:$A$6</c:f>
              <c:strCache>
                <c:ptCount val="2"/>
                <c:pt idx="0">
                  <c:v>2015</c:v>
                </c:pt>
                <c:pt idx="1">
                  <c:v>2016</c:v>
                </c:pt>
              </c:strCache>
            </c:strRef>
          </c:cat>
          <c:val>
            <c:numRef>
              <c:f>Sheet2!$D$4:$D$6</c:f>
              <c:numCache>
                <c:formatCode>General</c:formatCode>
                <c:ptCount val="2"/>
                <c:pt idx="0">
                  <c:v>33.720000000000027</c:v>
                </c:pt>
                <c:pt idx="1">
                  <c:v>13.699999999999998</c:v>
                </c:pt>
              </c:numCache>
            </c:numRef>
          </c:val>
          <c:extLst>
            <c:ext xmlns:c16="http://schemas.microsoft.com/office/drawing/2014/chart" uri="{C3380CC4-5D6E-409C-BE32-E72D297353CC}">
              <c16:uniqueId val="{00000008-EB4C-49B0-A2B3-24FD5A8E2C51}"/>
            </c:ext>
          </c:extLst>
        </c:ser>
        <c:ser>
          <c:idx val="3"/>
          <c:order val="3"/>
          <c:tx>
            <c:strRef>
              <c:f>Sheet2!$E$3</c:f>
              <c:strCache>
                <c:ptCount val="1"/>
                <c:pt idx="0">
                  <c:v>Sum of Other_Sales</c:v>
                </c:pt>
              </c:strCache>
            </c:strRef>
          </c:tx>
          <c:spPr>
            <a:solidFill>
              <a:schemeClr val="accent4"/>
            </a:solidFill>
            <a:ln>
              <a:noFill/>
            </a:ln>
            <a:effectLst/>
          </c:spPr>
          <c:invertIfNegative val="0"/>
          <c:dLbls>
            <c:dLbl>
              <c:idx val="0"/>
              <c:tx>
                <c:rich>
                  <a:bodyPr/>
                  <a:lstStyle/>
                  <a:p>
                    <a:r>
                      <a:rPr lang="en-US"/>
                      <a:t>11%</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EB4C-49B0-A2B3-24FD5A8E2C51}"/>
                </c:ext>
              </c:extLst>
            </c:dLbl>
            <c:dLbl>
              <c:idx val="1"/>
              <c:tx>
                <c:rich>
                  <a:bodyPr/>
                  <a:lstStyle/>
                  <a:p>
                    <a:r>
                      <a:rPr lang="en-US"/>
                      <a:t>11%%</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EB4C-49B0-A2B3-24FD5A8E2C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Sheet2!$A$4:$A$6</c:f>
              <c:strCache>
                <c:ptCount val="2"/>
                <c:pt idx="0">
                  <c:v>2015</c:v>
                </c:pt>
                <c:pt idx="1">
                  <c:v>2016</c:v>
                </c:pt>
              </c:strCache>
            </c:strRef>
          </c:cat>
          <c:val>
            <c:numRef>
              <c:f>Sheet2!$E$4:$E$6</c:f>
              <c:numCache>
                <c:formatCode>General</c:formatCode>
                <c:ptCount val="2"/>
                <c:pt idx="0">
                  <c:v>29.98999999999997</c:v>
                </c:pt>
                <c:pt idx="1">
                  <c:v>7.7199999999999873</c:v>
                </c:pt>
              </c:numCache>
            </c:numRef>
          </c:val>
          <c:extLst>
            <c:ext xmlns:c16="http://schemas.microsoft.com/office/drawing/2014/chart" uri="{C3380CC4-5D6E-409C-BE32-E72D297353CC}">
              <c16:uniqueId val="{0000000B-EB4C-49B0-A2B3-24FD5A8E2C51}"/>
            </c:ext>
          </c:extLst>
        </c:ser>
        <c:dLbls>
          <c:dLblPos val="ctr"/>
          <c:showLegendKey val="0"/>
          <c:showVal val="1"/>
          <c:showCatName val="0"/>
          <c:showSerName val="0"/>
          <c:showPercent val="0"/>
          <c:showBubbleSize val="0"/>
        </c:dLbls>
        <c:gapWidth val="150"/>
        <c:overlap val="100"/>
        <c:axId val="781545720"/>
        <c:axId val="781546376"/>
      </c:barChart>
      <c:catAx>
        <c:axId val="781545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1546376"/>
        <c:crosses val="autoZero"/>
        <c:auto val="1"/>
        <c:lblAlgn val="ctr"/>
        <c:lblOffset val="100"/>
        <c:noMultiLvlLbl val="0"/>
      </c:catAx>
      <c:valAx>
        <c:axId val="78154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a:t>
                </a:r>
                <a:r>
                  <a:rPr lang="en-US" baseline="0"/>
                  <a:t>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1545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Patel</dc:creator>
  <cp:keywords/>
  <dc:description/>
  <cp:lastModifiedBy>Ashika Patel</cp:lastModifiedBy>
  <cp:revision>6</cp:revision>
  <dcterms:created xsi:type="dcterms:W3CDTF">2022-03-03T21:52:00Z</dcterms:created>
  <dcterms:modified xsi:type="dcterms:W3CDTF">2022-03-05T23:10:00Z</dcterms:modified>
</cp:coreProperties>
</file>